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15f TPG — Datenübermittlung durch die Transplantationsregisterstelle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Transplantationsregisterstelle übermittelt</w:t>
      </w:r>
    </w:p>
    <w:p>
      <w:pPr>
        <w:ind w:left="420"/>
      </w:pPr>
      <w:r>
        <w:t xml:space="preserve">1. der Koordinierungsstelle die zur Erfüllung ihrer Aufgaben, insbesondere der Weiterentwicklung der Organ- und Spendercharakterisierung sowie ihrer Bewertung nach § 10a Absatz 1 Satz 1 und der Bewertung schwerwiegender Zwischenfälle und schwerwiegender unerwünschter Reaktionen, erforderlichen Daten,</w:t>
      </w:r>
    </w:p>
    <w:p>
      <w:pPr>
        <w:ind w:left="420"/>
      </w:pPr>
      <w:r>
        <w:t xml:space="preserve">2. der Vermittlungsstelle die zur Weiterentwicklung der Organvermittlung nach § 12 Absatz 3 Satz 1 erforderlichen Daten,</w:t>
      </w:r>
    </w:p>
    <w:p>
      <w:pPr>
        <w:ind w:left="420"/>
      </w:pPr>
      <w:r>
        <w:t xml:space="preserve">2a. der Stelle zur Vermittlung von Nieren im Rahmen der Überkreuzlebendnierenspende die zur Weiterentwicklung der Vermittlung von Nieren nach § 12 Absatz 3a erforderlichen Angaben,</w:t>
      </w:r>
    </w:p>
    <w:p>
      <w:pPr>
        <w:ind w:left="420"/>
      </w:pPr>
      <w:r>
        <w:t xml:space="preserve">3. der Bundesärztekammer die zur Fortschreibung der Richtlinien nach § 16 Absatz 1 Satz 1 erforderlichen Daten,</w:t>
      </w:r>
    </w:p>
    <w:p>
      <w:pPr>
        <w:ind w:left="420"/>
      </w:pPr>
      <w:r>
        <w:t xml:space="preserve">4. den Kommissionen nach § 11 Absatz 3 Satz 4 und § 12 Absatz 5 Satz 4 die zur Erfüllung ihrer Überwachungstätigkeit erforderlichen Daten,</w:t>
      </w:r>
    </w:p>
    <w:p>
      <w:pPr>
        <w:ind w:left="420"/>
      </w:pPr>
      <w:r>
        <w:t xml:space="preserve">5. den Transplantationszentren die zur Erfüllung ihrer jeweiligen Verpflichtung nach § 135a Absatz 1 des Fünften Buches Sozialgesetzbuch zur Sicherung und Weiterentwicklung der Qualität der von ihnen erbrachten transplantationsmedizinischen Leistungen erforderlichen Daten,</w:t>
      </w:r>
    </w:p>
    <w:p>
      <w:pPr>
        <w:ind w:left="420"/>
      </w:pPr>
      <w:r>
        <w:t xml:space="preserve">6. dem Gemeinsamen Bundesausschuss nach § 91 des Fünften Buches Sozialgesetzbuch die zur Weiterentwicklung von Richtlinien und Beschlüssen zur Qualitätssicherung für transplantationsmedizinische Leistungen nach den §§ 136 bis 136b des Fünften Buches Sozialgesetzbuch erforderlichen Daten sowie</w:t>
      </w:r>
    </w:p>
    <w:p>
      <w:pPr>
        <w:ind w:left="420"/>
      </w:pPr>
      <w:r>
        <w:t xml:space="preserve">7. den zuständigen Behörden der Länder die zur Erfüllung ihrer Aufgaben bei der Zulassung von Transplantationszentren nach § 10 Absatz 1 und im Rahmen der Überwachung der Vorschriften dieses Gesetzes und auf Grund dieses Gesetzes erlassenen Rechtsverordnungen erforderlichen Daten.</w:t>
      </w:r>
    </w:p>
    <w:p>
      <w:r>
        <w:t xml:space="preserve">Die Daten können in einem automatisierten Abrufverfahren übermittelt werden. Das automatisierte Abrufverfahren darf nur eingerichtet werden, soweit die beteiligten Stellen die nach den Artikeln 24, 25 und 32 der Verordnung (EU) 2016/679 erforderlichen technischen und organisatorischen Maßnahmen getroffen haben. Die Verantwortung für die Zulässigkeit des einzelnen Abrufs trägt die abrufende Stelle. Die Transplantationsregisterstelle dokumentiert Anlass und Zweck des einzelnen Abrufs. Sie überprüft die Zulässigkeit der Abrufe durch geeignete Stichprobenverfahren und im Übrigen nur, wenn dazu Anlass besteht. Die Stellen nach Satz 1 dürfen die Daten ausschließlich für ihre jeweils in Satz 1 genannten Zwecke verarbeiten.</w:t>
      </w:r>
    </w:p>
    <w:p>
      <w:r>
        <w:t xml:space="preserve">(2) Der Spitzenverband Bund der Krankenkassen, die Bundesärztekammer und die Deutsche Krankenhausgesellschaft legen das Verfahren für die Übermittlung der Daten im Einvernehmen mit dem Verband der Privaten Krankenversicherung und der oder dem Bundesbeauftragten für den Datenschutz und die Informationsfreiheit in einer Verfahrensordnung fest. Der Fachbeirat nach § 15d ist zu beteiligen.</w:t>
      </w:r>
    </w:p>
    <w:p>
      <w:r>
        <w:rPr>
          <w:color w:val="555555"/>
          <w:sz w:val="17"/>
        </w:rPr>
        <w:t xml:space="preserve">Zitiervorschlag: § 15f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