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TPG-GewV</w:t>
      </w:r>
    </w:p>
    <w:p>
      <w:r>
        <w:rPr>
          <w:color w:val="555555"/>
          <w:sz w:val="18"/>
        </w:rPr>
        <w:t xml:space="preserve">TPG-Gewebeverordnung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16a Satz 1 und 2 des Transplantationsgesetzes in der Fassung der Bekanntmachung vom 4. September 2007 (BGBl. I S. 2206) verordnet das Bundesministerium für Gesundheit nach Anhörung der Bundesärztekammer und weiterer Sachverständiger:</w:t>
      </w:r>
    </w:p>
    <w:p>
      <w:r>
        <w:rPr>
          <w:color w:val="555555"/>
          <w:sz w:val="17"/>
        </w:rPr>
        <w:t xml:space="preserve">Zitiervorschlag: Eingangsformel TPG-GewV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https://recht.nulegal.eu/gesetze/TPG-GewV/eingangsformel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