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TPG-GewV — Dokumentation von übertragenen Geweben durch Einrichtungen der medizinischen Versorgung</w:t>
      </w:r>
    </w:p>
    <w:p>
      <w:r>
        <w:rPr>
          <w:color w:val="555555"/>
          <w:sz w:val="18"/>
        </w:rPr>
        <w:t xml:space="preserve">TPG-Gewebeverordnung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Einrichtungen der medizinischen Versorgung haben zur Erfüllung ihrer Verpflichtung nach § 13a des Transplantationsgesetzes dafür zu sorgen, dass jedes übertragene Gewebe mit folgenden Angaben dokumentiert wird:</w:t>
      </w:r>
    </w:p>
    <w:p>
      <w:pPr>
        <w:ind w:left="420"/>
      </w:pPr>
      <w:r>
        <w:t xml:space="preserve">1. Identifikation des Gewebeempfängers durch Angaben zu Familienname, Vorname, Geschlecht, Tag der Geburt und Anschrift oder, soweit zuerkannt, die von der Einrichtung der medizinischen Versorgung für den Gewebeempfänger vergebene Zuordnungsnummer;</w:t>
      </w:r>
    </w:p>
    <w:p>
      <w:pPr>
        <w:ind w:left="420"/>
      </w:pPr>
      <w:r>
        <w:t xml:space="preserve">2. Tag und Uhrzeit der Übertragung;</w:t>
      </w:r>
    </w:p>
    <w:p>
      <w:pPr>
        <w:ind w:left="420"/>
      </w:pPr>
      <w:r>
        <w:t xml:space="preserve">3. Familienname, Vorname und Anschrift des Gewebe übertragenden Arztes;</w:t>
      </w:r>
    </w:p>
    <w:p>
      <w:pPr>
        <w:ind w:left="420"/>
      </w:pPr>
      <w:r>
        <w:t xml:space="preserve">4. Bezeichnung und Kennzeichnungskode des übertragenen Gewebes, sofern das Gewebe nach § 41a der Arzneimittel- und Wirkstoffherstellungsverordnung nicht mit dem Einheitlichen Europäischen Code nach Nummer 6 gekennzeichnet ist;</w:t>
      </w:r>
    </w:p>
    <w:p>
      <w:pPr>
        <w:ind w:left="420"/>
      </w:pPr>
      <w:r>
        <w:t xml:space="preserve">5. Name der Gewebeeinrichtung, von der sie das Gewebe erhalten haben;</w:t>
      </w:r>
    </w:p>
    <w:p>
      <w:pPr>
        <w:ind w:left="420"/>
      </w:pPr>
      <w:r>
        <w:t xml:space="preserve">6. dem Einheitlichen Europäischen Code nach § 4 Absatz 30a des Arzneimittelgesetzes, sofern vorhanden.</w:t>
      </w:r>
    </w:p>
    <w:p>
      <w:r>
        <w:rPr>
          <w:color w:val="555555"/>
          <w:sz w:val="17"/>
        </w:rPr>
        <w:t xml:space="preserve">Zitiervorschlag: § 7 TPG-GewV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https://recht.nulegal.eu/gesetze/TPG-GewV/7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