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TPG-GewV — Voraussetzungen für die Verwendung von Keimzellen im Rahmen von Maßnahmen einer medizinisch unterstützten Befruchtung</w:t>
      </w:r>
    </w:p>
    <w:p>
      <w:r>
        <w:rPr>
          <w:color w:val="555555"/>
          <w:sz w:val="18"/>
        </w:rPr>
        <w:t xml:space="preserve">TPG-Gewebeverordnung</w:t>
      </w:r>
    </w:p>
    <w:p>
      <w:r>
        <w:rPr>
          <w:color w:val="555555"/>
          <w:sz w:val="18"/>
        </w:rPr>
        <w:t xml:space="preserve">Stand: 10.06.2019 (konsolidierte Textfassung, kein amtliches Inkrafttretensdatum)</w:t>
      </w:r>
    </w:p>
    <w:p>
      <w:r>
        <w:t xml:space="preserve">(1) Für die Verwendung von Keimzellen im Rahmen von Maßnahmen einer medizinisch unterstützten Befruchtung ist es erforderlich, dass nach ärztlicher Beurteilung die Verwendung medizinisch indiziert und der gesundheitliche Schutz der Empfängerin und des Kindes gewährleistet sind. Für die erforderlichen Laboruntersuchungen und Untersuchungsverfahren gilt § 4 mit der Maßgabe der in Anlage 4 Nr. 1 und 3 festgelegten Anforderungen entsprechend. Die §§ 2 und 5 finden Anwendung. Werden Samenzellen nicht in einer Entnahmeeinrichtung gewonnen, sind Name und Anschrift der Gewebeeinrichtung, welche die Samenzellen erhalten soll, sowie Angaben über die Spenderidentität und Tag und Uhrzeit der Gewinnung im Entnahmebericht nach § 5 Abs. 2 zu dokumentieren.</w:t>
      </w:r>
    </w:p>
    <w:p>
      <w:r>
        <w:t xml:space="preserve">(2) Für die heterologe Verwendung von Samenzellen im Rahmen von Maßnahmen einer medizinisch unterstützten Befruchtung ist es über die Anforderungen des Absatzes 1 hinaus erforderlich, dass der Spender nach ärztlicher Beurteilung aufgrund seines Alters, seines Gesundheitszustandes und seiner Anamnese für die Samenspende geeignet ist und durch die Verwendung der gespendeten Samenzellen bedingte Gesundheitsrisiken für andere ausgeschlossen sind. Die Angaben des Spenders sind mittels eines Fragebogens sowie einer anschließenden persönlichen Befragung des Spenders durch den Arzt zu erheben. Für die erforderlichen Laboruntersuchungen und Untersuchungsverfahren gilt § 4 mit der Maßgabe der in Anlage 4 Nr. 2 und 3 festgelegten Anforderungen entsprechend.</w:t>
      </w:r>
    </w:p>
    <w:p>
      <w:r>
        <w:rPr>
          <w:color w:val="555555"/>
          <w:sz w:val="17"/>
        </w:rPr>
        <w:t xml:space="preserve">Zitiervorschlag: § 6 TPG-GewV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https://recht.nulegal.eu/gesetze/TPG-GewV/6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