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TPG-GewV — Inkrafttreten</w:t>
      </w:r>
    </w:p>
    <w:p>
      <w:r>
        <w:rPr>
          <w:color w:val="555555"/>
          <w:sz w:val="18"/>
        </w:rPr>
        <w:t xml:space="preserve">TPG-Gewebeverordnung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10 TPG-GewV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https://recht.nulegal.eu/gesetze/TPG-GewV/10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