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TPG-GewV — Anwendungsbereich</w:t>
      </w:r>
    </w:p>
    <w:p>
      <w:r>
        <w:rPr>
          <w:color w:val="555555"/>
          <w:sz w:val="18"/>
        </w:rPr>
        <w:t xml:space="preserve">TPG-Gewebeverordnung</w:t>
      </w:r>
    </w:p>
    <w:p>
      <w:r>
        <w:rPr>
          <w:color w:val="555555"/>
          <w:sz w:val="18"/>
        </w:rPr>
        <w:t xml:space="preserve">Stand: 01.06.2026 (konsolidierte Textfassung, kein amtliches Inkrafttretensdatum)</w:t>
      </w:r>
    </w:p>
    <w:p>
      <w:r>
        <w:t xml:space="preserve">Diese Verordnung findet Anwendung auf Gewebeeinrichtungen im Sinne des § 1a Nummer 12 des Transplantationsgesetzes, die Gewebe im Sinne des § 1a Nummer 4 des Transplantationsgesetzes entnehmen (Entnahmeeinrichtung) oder die die für Gewebespender erforderlichen Laboruntersuchungen in einem Untersuchungslabor nach § 8f des Transplantationsgesetzes durchführen oder durchführen lassen. Sie gilt ferner für Einrichtungen der medizinischen Versorgung, die Gewebe im Sinne des § 1a Nummer 4 des Transplantationsgesetzes übertragen.</w:t>
      </w:r>
    </w:p>
    <w:p>
      <w:r>
        <w:rPr>
          <w:color w:val="555555"/>
          <w:sz w:val="17"/>
        </w:rPr>
        <w:t xml:space="preserve">Zitiervorschlag: § 1 TPG-GewV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https://recht.nulegal.eu/gesetze/TPG-GewV/1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