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TNV — (zu § 12)</w:t>
      </w:r>
    </w:p>
    <w:p>
      <w:r>
        <w:rPr>
          <w:color w:val="555555"/>
          <w:sz w:val="18"/>
        </w:rPr>
        <w:t xml:space="preserve">TNV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 Fundstelle: BGBl. I 2008, 145 - 148 )</w:t>
      </w:r>
    </w:p>
    <w:p>
      <w:pPr>
        <w:ind w:left="420"/>
      </w:pPr>
      <w:r>
        <w:t xml:space="preserve">1. Nummernraum für das öffentliche Telefonnetz gemäß der Empfehlung E.164 der Internationalen Fernmeldeunion</w:t>
      </w:r>
    </w:p>
    <w:p>
      <w:r>
        <w:rPr>
          <w:rFonts w:ascii="Courier New" w:hAnsi="Courier New"/>
          <w:sz w:val="17"/>
        </w:rPr>
        <w:t xml:space="preserve">    Nummernressource    Vfg./Mit.    Datum    Amtsblatt</w:t>
      </w:r>
    </w:p>
    <w:p>
      <w:r>
        <w:rPr>
          <w:rFonts w:ascii="Courier New" w:hAnsi="Courier New"/>
          <w:sz w:val="17"/>
        </w:rPr>
        <w:t xml:space="preserve">1.1 Rufnummern in den Ortsnetzbereichen</w:t>
      </w:r>
    </w:p>
    <w:p>
      <w:r>
        <w:rPr>
          <w:rFonts w:ascii="Courier New" w:hAnsi="Courier New"/>
          <w:sz w:val="17"/>
        </w:rPr>
        <w:t xml:space="preserve">1.    Struktur und Ausgestaltung des Nummern- bereichs für Ortsnetzrufnummern    Vfg. 25/2006    10. 05. 2006    BNetzA Nr. 9/2006</w:t>
      </w:r>
    </w:p>
    <w:p>
      <w:r>
        <w:rPr>
          <w:rFonts w:ascii="Courier New" w:hAnsi="Courier New"/>
          <w:sz w:val="17"/>
        </w:rPr>
        <w:t xml:space="preserve">2.    Änderung der Zuteilungsregeln für Ortsnetzrufnummern    Vfg. 18/2007    04. 04. 2007    BNetzA Nr. 7/2007</w:t>
      </w:r>
    </w:p>
    <w:p>
      <w:r>
        <w:rPr>
          <w:rFonts w:ascii="Courier New" w:hAnsi="Courier New"/>
          <w:sz w:val="17"/>
        </w:rPr>
        <w:t xml:space="preserve">3.    Änderung der Verfügung „Struktur und Ausgestaltung des Nummernbereichs für Ortsnetzrufnummern“    Vfg. 43/2007    29. 08. 2007    BNetzA Nr. 17/2007</w:t>
      </w:r>
    </w:p>
    <w:p>
      <w:r>
        <w:rPr>
          <w:rFonts w:ascii="Courier New" w:hAnsi="Courier New"/>
          <w:sz w:val="17"/>
        </w:rPr>
        <w:t xml:space="preserve">4.    Nutzung des Teilbereichs 11 des Nummernraums für öffentliche Telefonnetze    Vfg. 255/1997    22. 10. 1997    BMPT Nr. 28/1997</w:t>
      </w:r>
    </w:p>
    <w:p>
      <w:r>
        <w:rPr>
          <w:rFonts w:ascii="Courier New" w:hAnsi="Courier New"/>
          <w:sz w:val="17"/>
        </w:rPr>
        <w:t xml:space="preserve">5.    Verwendung der Ortsnetzkennzahl (0)621 für die Ortsnetze Mannheim und Ludwigshafen    Vfg. 6/1998    04. 03. 1998    Reg TP Nr. 2/1998</w:t>
      </w:r>
    </w:p>
    <w:p>
      <w:r>
        <w:rPr>
          <w:rFonts w:ascii="Courier New" w:hAnsi="Courier New"/>
          <w:sz w:val="17"/>
        </w:rPr>
        <w:t xml:space="preserve">6.    Übersicht der Ortsnetzbereichsgrenzen (ONB-Grenzen)    Mit. 465/2002    16. 10. 2002    Reg TP Nr. 20/2002</w:t>
      </w:r>
    </w:p>
    <w:p>
      <w:r>
        <w:rPr>
          <w:rFonts w:ascii="Courier New" w:hAnsi="Courier New"/>
          <w:sz w:val="17"/>
        </w:rPr>
        <w:t xml:space="preserve">7.    Nutzung von Rufnummern in den Ortsnetzbereichen    Mit. 306/2004    06. 10. 2004    Reg TP Nr. 16/2004</w:t>
      </w:r>
    </w:p>
    <w:p>
      <w:r>
        <w:rPr>
          <w:rFonts w:ascii="Courier New" w:hAnsi="Courier New"/>
          <w:sz w:val="17"/>
        </w:rPr>
        <w:t xml:space="preserve">1.2 Rufnummern für Mobilfunkdienste</w:t>
      </w:r>
    </w:p>
    <w:p>
      <w:r>
        <w:rPr>
          <w:rFonts w:ascii="Courier New" w:hAnsi="Courier New"/>
          <w:sz w:val="17"/>
        </w:rPr>
        <w:t xml:space="preserve">1.    Regeln für die Zuteilung von Rufnummern für öffentliche zellulare Mobilfunkdienste    Vfg. 84/2000    06. 12. 2000    Reg TP Nr. 23/2000</w:t>
      </w:r>
    </w:p>
    <w:p>
      <w:r>
        <w:rPr>
          <w:rFonts w:ascii="Courier New" w:hAnsi="Courier New"/>
          <w:sz w:val="17"/>
        </w:rPr>
        <w:t xml:space="preserve">2.    Änderung beim Antragsverfahren, bei den Auflagen und beim Antragsformular    Vfg. 10/2002    17. 04. 2002    Reg TP Nr. 7/2002</w:t>
      </w:r>
    </w:p>
    <w:p>
      <w:r>
        <w:rPr>
          <w:rFonts w:ascii="Courier New" w:hAnsi="Courier New"/>
          <w:sz w:val="17"/>
        </w:rPr>
        <w:t xml:space="preserve">3.    Änderung der Antragsberechtigung    Vfg. 31/2003    16. 07. 2003    Reg TP Nr. 14/2003</w:t>
      </w:r>
    </w:p>
    <w:p>
      <w:r>
        <w:rPr>
          <w:rFonts w:ascii="Courier New" w:hAnsi="Courier New"/>
          <w:sz w:val="17"/>
        </w:rPr>
        <w:t xml:space="preserve">1.3 Rufnummern für Auskunftsdienste</w:t>
      </w:r>
    </w:p>
    <w:p>
      <w:r>
        <w:rPr>
          <w:rFonts w:ascii="Courier New" w:hAnsi="Courier New"/>
          <w:sz w:val="17"/>
        </w:rPr>
        <w:t xml:space="preserve">1.    Vorläufige Regeln für die Zuteilung von Rufnummern für Auskunftsdienste    Vfg. 61/1997    19. 03. 1997    BMPT Nr. 8/1997</w:t>
      </w:r>
    </w:p>
    <w:p>
      <w:r>
        <w:rPr>
          <w:rFonts w:ascii="Courier New" w:hAnsi="Courier New"/>
          <w:sz w:val="17"/>
        </w:rPr>
        <w:t xml:space="preserve">2.    Ansteuerung von Auskunftsdiensten; Nutzung des Teilbereichs (0)1989 des Nummernraums für das öffentliche Telefonnetz/ISDN    Vfg. 224/1997    10. 09. 1997    BMPT Nr. 25/1997</w:t>
      </w:r>
    </w:p>
    <w:p>
      <w:r>
        <w:rPr>
          <w:rFonts w:ascii="Courier New" w:hAnsi="Courier New"/>
          <w:sz w:val="17"/>
        </w:rPr>
        <w:t xml:space="preserve">3.    Nutzung der Rufnummern (0)1188 und (0)1199; Nutzung des Teilbereichs 118 des Nummernraums für das öffentliche Telefonnetz/ISDN    Vfg. 228/1997    10. 09. 1997    BMPT Nr. 25/1997</w:t>
      </w:r>
    </w:p>
    <w:p>
      <w:r>
        <w:rPr>
          <w:rFonts w:ascii="Courier New" w:hAnsi="Courier New"/>
          <w:sz w:val="17"/>
        </w:rPr>
        <w:t xml:space="preserve">4.    Änderung der Zuteilungsregeln (max. 7 Rufnummern)    Vfg. 143/1998    09. 12. 1998    BMPT Nr. 24/1998</w:t>
      </w:r>
    </w:p>
    <w:p>
      <w:r>
        <w:rPr>
          <w:rFonts w:ascii="Courier New" w:hAnsi="Courier New"/>
          <w:sz w:val="17"/>
        </w:rPr>
        <w:t xml:space="preserve">5.    Hinweise zu den Regeln für die Zuteilung von Rufnummern für Auskunftsdienste    Mit. 305/2002    26. 06. 2002    Reg TP Nr. 12/2002</w:t>
      </w:r>
    </w:p>
    <w:p>
      <w:r>
        <w:rPr>
          <w:rFonts w:ascii="Courier New" w:hAnsi="Courier New"/>
          <w:sz w:val="17"/>
        </w:rPr>
        <w:t xml:space="preserve">6.    Hinweise zu den Regeln für die Zuteilung von Rufnummern für Auskunftsdienste (118xx)    Mit. 19/2004    21. 01. 2004    Reg TP Nr. 2/2004</w:t>
      </w:r>
    </w:p>
    <w:p>
      <w:r>
        <w:rPr>
          <w:rFonts w:ascii="Courier New" w:hAnsi="Courier New"/>
          <w:sz w:val="17"/>
        </w:rPr>
        <w:t xml:space="preserve">1.4 Betreiberkennzahlen</w:t>
      </w:r>
    </w:p>
    <w:p>
      <w:r>
        <w:rPr>
          <w:rFonts w:ascii="Courier New" w:hAnsi="Courier New"/>
          <w:sz w:val="17"/>
        </w:rPr>
        <w:t xml:space="preserve">    Struktur und Ausgestaltung des Nummern- bereichs für Betreiberkennzahlen    Vfg. 23/2006    26. 04. 2006    BNetzA Nr. 8/2006</w:t>
      </w:r>
    </w:p>
    <w:p>
      <w:r>
        <w:rPr>
          <w:rFonts w:ascii="Courier New" w:hAnsi="Courier New"/>
          <w:sz w:val="17"/>
        </w:rPr>
        <w:t xml:space="preserve">1.5 Rufnummern für entgeltfreie Telefondienste</w:t>
      </w:r>
    </w:p>
    <w:p>
      <w:r>
        <w:rPr>
          <w:rFonts w:ascii="Courier New" w:hAnsi="Courier New"/>
          <w:sz w:val="17"/>
        </w:rPr>
        <w:t xml:space="preserve">1.    Regeln für die Zuteilung von Rufnummern für entgeltfreie Mehrwertdienste    Vfg. 36/2004    11. 08. 2004    Reg TP Nr. 16/2004</w:t>
      </w:r>
    </w:p>
    <w:p>
      <w:r>
        <w:rPr>
          <w:rFonts w:ascii="Courier New" w:hAnsi="Courier New"/>
          <w:sz w:val="17"/>
        </w:rPr>
        <w:t xml:space="preserve">2.    Nutzung (0)130/(0)800-Rufnummern    Vfg. 137/1997    18. 06. 1997    BMPT Nr. 17/1997</w:t>
      </w:r>
    </w:p>
    <w:p>
      <w:r>
        <w:rPr>
          <w:rFonts w:ascii="Courier New" w:hAnsi="Courier New"/>
          <w:sz w:val="17"/>
        </w:rPr>
        <w:t xml:space="preserve">3.    Testrufnummern für entgeltfreie Mehrwertdienste    Vfg. 227/1997    10. 09. 1997    BMPT Nr. 25/1997</w:t>
      </w:r>
    </w:p>
    <w:p>
      <w:r>
        <w:rPr>
          <w:rFonts w:ascii="Courier New" w:hAnsi="Courier New"/>
          <w:sz w:val="17"/>
        </w:rPr>
        <w:t xml:space="preserve">1.6 Rufnummern für Geteilte-Kosten-Dienste</w:t>
      </w:r>
    </w:p>
    <w:p>
      <w:r>
        <w:rPr>
          <w:rFonts w:ascii="Courier New" w:hAnsi="Courier New"/>
          <w:sz w:val="17"/>
        </w:rPr>
        <w:t xml:space="preserve">    Regeln für die Zuteilung von Rufnummern für Shared Cost-Dienste    Vfg. 34/2004    11. 08. 2004    Reg TP Nr. 16/2004</w:t>
      </w:r>
    </w:p>
    <w:p>
      <w:r>
        <w:rPr>
          <w:rFonts w:ascii="Courier New" w:hAnsi="Courier New"/>
          <w:sz w:val="17"/>
        </w:rPr>
        <w:t xml:space="preserve">1.7 Rufnummern für Premium-Dienste</w:t>
      </w:r>
    </w:p>
    <w:p>
      <w:r>
        <w:rPr>
          <w:rFonts w:ascii="Courier New" w:hAnsi="Courier New"/>
          <w:sz w:val="17"/>
        </w:rPr>
        <w:t xml:space="preserve">    Regeln für die Zuteilung von (0)900-Rufnummern für Premium Rate-Dienste    Vfg. 37/2004    11. 08. 2004    Reg TP Nr. 16/2004</w:t>
      </w:r>
    </w:p>
    <w:p>
      <w:r>
        <w:rPr>
          <w:rFonts w:ascii="Courier New" w:hAnsi="Courier New"/>
          <w:sz w:val="17"/>
        </w:rPr>
        <w:t xml:space="preserve">1.8 Persönliche Rufnummern</w:t>
      </w:r>
    </w:p>
    <w:p>
      <w:r>
        <w:rPr>
          <w:rFonts w:ascii="Courier New" w:hAnsi="Courier New"/>
          <w:sz w:val="17"/>
        </w:rPr>
        <w:t xml:space="preserve">    Regeln für die Zuteilung von Persönlichen Rufnummern    Vfg. 35/2004    11. 08. 2004    Reg TP Nr. 16/2004</w:t>
      </w:r>
    </w:p>
    <w:p>
      <w:r>
        <w:rPr>
          <w:rFonts w:ascii="Courier New" w:hAnsi="Courier New"/>
          <w:sz w:val="17"/>
        </w:rPr>
        <w:t xml:space="preserve">1.9 Rufnummern für Nutzergruppen</w:t>
      </w:r>
    </w:p>
    <w:p>
      <w:r>
        <w:rPr>
          <w:rFonts w:ascii="Courier New" w:hAnsi="Courier New"/>
          <w:sz w:val="17"/>
        </w:rPr>
        <w:t xml:space="preserve">1.    Vorläufige Regeln für die Zuteilung von Rufnummern für Nutzergruppen    Vfg. 23/1997    22. 01. 1997    BMPT Nr. 2/1997</w:t>
      </w:r>
    </w:p>
    <w:p>
      <w:r>
        <w:rPr>
          <w:rFonts w:ascii="Courier New" w:hAnsi="Courier New"/>
          <w:sz w:val="17"/>
        </w:rPr>
        <w:t xml:space="preserve">2.    Änderungen der Regeln    Vfg. 12/2004    21. 04. 2004    Reg TP Nr. 8/2004</w:t>
      </w:r>
    </w:p>
    <w:p>
      <w:r>
        <w:rPr>
          <w:rFonts w:ascii="Courier New" w:hAnsi="Courier New"/>
          <w:sz w:val="17"/>
        </w:rPr>
        <w:t xml:space="preserve">1.10 Rufnummern für Internationale Virtuelle Private Netze</w:t>
      </w:r>
    </w:p>
    <w:p>
      <w:r>
        <w:rPr>
          <w:rFonts w:ascii="Courier New" w:hAnsi="Courier New"/>
          <w:sz w:val="17"/>
        </w:rPr>
        <w:t xml:space="preserve">    Strukturierung und Ausgestaltung des Nummernbereichs für Internationale Virtuelle Private Netze    Vfg. 57/2007    26. 09. 2007    BNetzA 19/2007</w:t>
      </w:r>
    </w:p>
    <w:p>
      <w:r>
        <w:rPr>
          <w:rFonts w:ascii="Courier New" w:hAnsi="Courier New"/>
          <w:sz w:val="17"/>
        </w:rPr>
        <w:t xml:space="preserve">1.11 Rufnummern für Neuartige Dienste</w:t>
      </w:r>
    </w:p>
    <w:p>
      <w:r>
        <w:rPr>
          <w:rFonts w:ascii="Courier New" w:hAnsi="Courier New"/>
          <w:sz w:val="17"/>
        </w:rPr>
        <w:t xml:space="preserve">1.    Vorläufige Regeln für die Zuteilung von Rufnummern für innovative Dienste    Vfg. 28/1999    10. 03. 1999    Reg TP Nr. 4/1999</w:t>
      </w:r>
    </w:p>
    <w:p>
      <w:r>
        <w:rPr>
          <w:rFonts w:ascii="Courier New" w:hAnsi="Courier New"/>
          <w:sz w:val="17"/>
        </w:rPr>
        <w:t xml:space="preserve">2.    Nutzung (0)12-Rufnummernraum    Vfg. 27/1999    10. 03. 1999    Reg TP Nr. 4/1999</w:t>
      </w:r>
    </w:p>
    <w:p>
      <w:r>
        <w:rPr>
          <w:rFonts w:ascii="Courier New" w:hAnsi="Courier New"/>
          <w:sz w:val="17"/>
        </w:rPr>
        <w:t xml:space="preserve">3.    Änderung der vorläufigen Regeln für die Zuteilung von Rufnummern für innovative Dienste    Vfg. 39/2001    05. 09. 2001    Reg TP Nr. 17/2001</w:t>
      </w:r>
    </w:p>
    <w:p>
      <w:r>
        <w:rPr>
          <w:rFonts w:ascii="Courier New" w:hAnsi="Courier New"/>
          <w:sz w:val="17"/>
        </w:rPr>
        <w:t xml:space="preserve">1.12 Rufnummern für öffentliche Bündelfunknetze</w:t>
      </w:r>
    </w:p>
    <w:p>
      <w:r>
        <w:rPr>
          <w:rFonts w:ascii="Courier New" w:hAnsi="Courier New"/>
          <w:sz w:val="17"/>
        </w:rPr>
        <w:t xml:space="preserve">    Vorläufige Regeln für die Zuteilung von Rufnummern für öffentliche Bündelfunknetze    Vfg. 22/2000    08. 03. 2000    Reg TP Nr. 5/2000</w:t>
      </w:r>
    </w:p>
    <w:p>
      <w:r>
        <w:rPr>
          <w:rFonts w:ascii="Courier New" w:hAnsi="Courier New"/>
          <w:sz w:val="17"/>
        </w:rPr>
        <w:t xml:space="preserve">1.13 Rufnummern für Dialer (0)9009</w:t>
      </w:r>
    </w:p>
    <w:p>
      <w:r>
        <w:rPr>
          <w:rFonts w:ascii="Courier New" w:hAnsi="Courier New"/>
          <w:sz w:val="17"/>
        </w:rPr>
        <w:t xml:space="preserve">1.    Regeln für die Zuteilung von (0)9009er-Rufnummern für über Anwählprogramme erreichbare Premium Rate-Dienste    Vfg. 38/2003    13. 08. 2003    Reg TP Nr. 16/2003</w:t>
      </w:r>
    </w:p>
    <w:p>
      <w:r>
        <w:rPr>
          <w:rFonts w:ascii="Courier New" w:hAnsi="Courier New"/>
          <w:sz w:val="17"/>
        </w:rPr>
        <w:t xml:space="preserve">2.    Rufnummerngasse für Dialer    Vfg. 49/2003    05. 11. 2003    Reg TP Nr. 22/2003</w:t>
      </w:r>
    </w:p>
    <w:p>
      <w:r>
        <w:rPr>
          <w:rFonts w:ascii="Courier New" w:hAnsi="Courier New"/>
          <w:sz w:val="17"/>
        </w:rPr>
        <w:t xml:space="preserve">1.14 Zielnetzbetreiberkennungen (Routingnummern für IFS)</w:t>
      </w:r>
    </w:p>
    <w:p>
      <w:r>
        <w:rPr>
          <w:rFonts w:ascii="Courier New" w:hAnsi="Courier New"/>
          <w:sz w:val="17"/>
        </w:rPr>
        <w:t xml:space="preserve">    Regeln für die Zuteilung von Zielnetzbetreiberkennungen zur Generierung von Routingnummern für Internationale Entgeltfreie Mehrwertdienste    Vfg. 1/2004    07. 01. 2004    Reg TP Nr. 1/2004</w:t>
      </w:r>
    </w:p>
    <w:p>
      <w:r>
        <w:rPr>
          <w:rFonts w:ascii="Courier New" w:hAnsi="Courier New"/>
          <w:sz w:val="17"/>
        </w:rPr>
        <w:t xml:space="preserve">1.15 Nationale Teilnehmerrufnummern</w:t>
      </w:r>
    </w:p>
    <w:p>
      <w:r>
        <w:rPr>
          <w:rFonts w:ascii="Courier New" w:hAnsi="Courier New"/>
          <w:sz w:val="17"/>
        </w:rPr>
        <w:t xml:space="preserve">1.    Regeln für die Zuteilung von Nationalen Teilnehmerrufnummern    Vfg. 51/2004    24. 11. 2004    Reg TP Nr. 23/2004</w:t>
      </w:r>
    </w:p>
    <w:p>
      <w:r>
        <w:rPr>
          <w:rFonts w:ascii="Courier New" w:hAnsi="Courier New"/>
          <w:sz w:val="17"/>
        </w:rPr>
        <w:t xml:space="preserve">2.    Portierungsdatenaustausch bei Ortsnetzrufnummern und (0)32er Nationalen Teilnehmerrufnummern    Vfg. 43/2005    29. 06. 2005    Reg TP Nr. 12/2005</w:t>
      </w:r>
    </w:p>
    <w:p>
      <w:r>
        <w:rPr>
          <w:rFonts w:ascii="Courier New" w:hAnsi="Courier New"/>
          <w:sz w:val="17"/>
        </w:rPr>
        <w:t xml:space="preserve">3.    Nationale Teilnehmerrufnummern; Klarstellung der Antragsberechtigung    Vfg. 42/2005    29. 06. 2005    Reg TP Nr. 12/2005</w:t>
      </w:r>
    </w:p>
    <w:p>
      <w:r>
        <w:rPr>
          <w:rFonts w:ascii="Courier New" w:hAnsi="Courier New"/>
          <w:sz w:val="17"/>
        </w:rPr>
        <w:t xml:space="preserve">1.16 Sonstige Nummern und Regelungen</w:t>
      </w:r>
    </w:p>
    <w:p>
      <w:r>
        <w:rPr>
          <w:rFonts w:ascii="Courier New" w:hAnsi="Courier New"/>
          <w:sz w:val="17"/>
        </w:rPr>
        <w:t xml:space="preserve">1.    Nutzung des Teilbereichs (0)11 des Nummern- raums für öffentliche Telefonnetze    Vfg. 103/1998    02. 09. 1998    Reg TP Nr. 17/1998</w:t>
      </w:r>
    </w:p>
    <w:p>
      <w:r>
        <w:rPr>
          <w:rFonts w:ascii="Courier New" w:hAnsi="Courier New"/>
          <w:sz w:val="17"/>
        </w:rPr>
        <w:t xml:space="preserve">2.    Nutzung des durch die Empfehlung E.164 der Internationalen Fernmeldeunion definierten Nummernraums für das öffentliche Telefonnetz/ISDN    Vfg. 36/1999    14. 04. 1999    Reg TP Nr. 6/1999</w:t>
      </w:r>
    </w:p>
    <w:p>
      <w:r>
        <w:rPr>
          <w:rFonts w:ascii="Courier New" w:hAnsi="Courier New"/>
          <w:sz w:val="17"/>
        </w:rPr>
        <w:t xml:space="preserve">3.    Der Nummernraum für das öffentliche Telefonnetz/ISDN in Deutschland – zusammenfassende tabellarische Darstellung –    Mit. 659/2000    22. 11. 2000    Reg TP Nr. 22/2000</w:t>
      </w:r>
    </w:p>
    <w:p>
      <w:r>
        <w:rPr>
          <w:rFonts w:ascii="Courier New" w:hAnsi="Courier New"/>
          <w:sz w:val="17"/>
        </w:rPr>
        <w:t xml:space="preserve">4.    Nutzung des Nummernraums (0)1D    Vfg. 8/2002    03. 04. 2002    Reg TP Nr. 6/2002</w:t>
      </w:r>
    </w:p>
    <w:p>
      <w:r>
        <w:rPr>
          <w:rFonts w:ascii="Courier New" w:hAnsi="Courier New"/>
          <w:sz w:val="17"/>
        </w:rPr>
        <w:t xml:space="preserve">5.    Nutzung des Teilbereichs (0)199 des Nummern- raums für öffentliche Telefonnetze    Vfg. 31/2002    16. 10. 2002    Reg TP Nr. 20/2002</w:t>
      </w:r>
    </w:p>
    <w:p>
      <w:r>
        <w:rPr>
          <w:rFonts w:ascii="Courier New" w:hAnsi="Courier New"/>
          <w:sz w:val="17"/>
        </w:rPr>
        <w:t xml:space="preserve">6.    Nutzung des Teilbereichs (0)31 des Nummern- raums für öffentliche Telefonnetze    Vfg. 4/2003    05. 02. 2003    Reg TP Nr. 3/2003</w:t>
      </w:r>
    </w:p>
    <w:p>
      <w:r>
        <w:rPr>
          <w:rFonts w:ascii="Courier New" w:hAnsi="Courier New"/>
          <w:sz w:val="17"/>
        </w:rPr>
        <w:t xml:space="preserve">7.    Bereitstellung der Rufnummern 116.116 und (0)116.116 für eine zentrale Anlaufstelle zur Sperrung elektronischer Berechtigungen    Vfg. 45/2004    20. 10. 2004    Reg TP Nr. 21/2004</w:t>
      </w:r>
    </w:p>
    <w:p>
      <w:r>
        <w:rPr>
          <w:rFonts w:ascii="Courier New" w:hAnsi="Courier New"/>
          <w:sz w:val="17"/>
        </w:rPr>
        <w:t xml:space="preserve">8.    Bereitstellung der Rufnummern 116.116 und (0)116.116    Vfg. 61/2004    22. 12. 2004    Reg TP Nr. 25/2004</w:t>
      </w:r>
    </w:p>
    <w:p>
      <w:r>
        <w:rPr>
          <w:rFonts w:ascii="Courier New" w:hAnsi="Courier New"/>
          <w:sz w:val="17"/>
        </w:rPr>
        <w:t xml:space="preserve">9.    Nutzung des Teilbereichs (0)1987 des Nummern- raums für öffentliche Telefonnetze    Vfg. 3/2005    12. 01. 2005    Reg TP Nr. 1/2005</w:t>
      </w:r>
    </w:p>
    <w:p>
      <w:r>
        <w:rPr>
          <w:rFonts w:ascii="Courier New" w:hAnsi="Courier New"/>
          <w:sz w:val="17"/>
        </w:rPr>
        <w:t xml:space="preserve">10.    Struktur und Ausgestaltung des Nummern- bereichs für Betreiberkennzahlen    Vfg. 23/2006    26. 04. 2006    BNetzA Nr. 8/2006</w:t>
      </w:r>
    </w:p>
    <w:p>
      <w:r>
        <w:rPr>
          <w:rFonts w:ascii="Courier New" w:hAnsi="Courier New"/>
          <w:sz w:val="17"/>
        </w:rPr>
        <w:t xml:space="preserve">11.    Strukturierung und Ausgestaltung von Nummernbereichen für harmonisierte Dienste von sozialem Wert    Vfg. 53/2007    29. 08. 2007    BNetzA Nr. 17/2007</w:t>
      </w:r>
    </w:p>
    <w:p>
      <w:pPr>
        <w:ind w:left="420"/>
      </w:pPr>
      <w:r>
        <w:t xml:space="preserve">2. Sonstige Nummern</w:t>
      </w:r>
    </w:p>
    <w:p>
      <w:r>
        <w:rPr>
          <w:rFonts w:ascii="Courier New" w:hAnsi="Courier New"/>
          <w:sz w:val="17"/>
        </w:rPr>
        <w:t xml:space="preserve">    Nummernressource    Vfg./Mit.    Datum    Amtsblatt</w:t>
      </w:r>
    </w:p>
    <w:p>
      <w:r>
        <w:rPr>
          <w:rFonts w:ascii="Courier New" w:hAnsi="Courier New"/>
          <w:sz w:val="17"/>
        </w:rPr>
        <w:t xml:space="preserve">2.1 National Signalling Point Codes (NSPC)</w:t>
      </w:r>
    </w:p>
    <w:p>
      <w:r>
        <w:rPr>
          <w:rFonts w:ascii="Courier New" w:hAnsi="Courier New"/>
          <w:sz w:val="17"/>
        </w:rPr>
        <w:t xml:space="preserve">1.    Vorläufige Regeln für die Zuteilung von National Signalling Point Code (NSPC)    Vfg. 22/1997    22. 01. 1997    BMPT Nr. 2/1997</w:t>
      </w:r>
    </w:p>
    <w:p>
      <w:r>
        <w:rPr>
          <w:rFonts w:ascii="Courier New" w:hAnsi="Courier New"/>
          <w:sz w:val="17"/>
        </w:rPr>
        <w:t xml:space="preserve">2.    Änderung der Antragsberechtigung    Vfg. 33/2003    16. 07. 2003    Reg TP Nr. 14/2003</w:t>
      </w:r>
    </w:p>
    <w:p>
      <w:r>
        <w:rPr>
          <w:rFonts w:ascii="Courier New" w:hAnsi="Courier New"/>
          <w:sz w:val="17"/>
        </w:rPr>
        <w:t xml:space="preserve">2.2 Portierungskennungen (PK)</w:t>
      </w:r>
    </w:p>
    <w:p>
      <w:r>
        <w:rPr>
          <w:rFonts w:ascii="Courier New" w:hAnsi="Courier New"/>
          <w:sz w:val="17"/>
        </w:rPr>
        <w:t xml:space="preserve">1.    Vorläufige Regeln für die Zuteilung von Portierungskennungen (PK)    Vfg. 52/1997    19. 02. 1997    BMPT Nr. 5/1997</w:t>
      </w:r>
    </w:p>
    <w:p>
      <w:r>
        <w:rPr>
          <w:rFonts w:ascii="Courier New" w:hAnsi="Courier New"/>
          <w:sz w:val="17"/>
        </w:rPr>
        <w:t xml:space="preserve">2.    Zahl der zuteilbaren Kennungen    Vfg. 85/1999    14. 07. 1999    Reg TP Nr. 12/1999</w:t>
      </w:r>
    </w:p>
    <w:p>
      <w:r>
        <w:rPr>
          <w:rFonts w:ascii="Courier New" w:hAnsi="Courier New"/>
          <w:sz w:val="17"/>
        </w:rPr>
        <w:t xml:space="preserve">3.    Änderung der Antragsberechtigung    Vfg. 52/2004    24. 11. 2004    Reg TP Nr. 23/2004</w:t>
      </w:r>
    </w:p>
    <w:p>
      <w:r>
        <w:rPr>
          <w:rFonts w:ascii="Courier New" w:hAnsi="Courier New"/>
          <w:sz w:val="17"/>
        </w:rPr>
        <w:t xml:space="preserve">2.3 Closed User Group Interlock Codes (CUGIC)</w:t>
      </w:r>
    </w:p>
    <w:p>
      <w:r>
        <w:rPr>
          <w:rFonts w:ascii="Courier New" w:hAnsi="Courier New"/>
          <w:sz w:val="17"/>
        </w:rPr>
        <w:t xml:space="preserve">    Vorläufige Regeln für die Zuteilung von Closed User Group Interlock Codes    Vfg. 16/1998    04. 03. 1998    Reg TP Nr. 4/1998</w:t>
      </w:r>
    </w:p>
    <w:p>
      <w:r>
        <w:rPr>
          <w:rFonts w:ascii="Courier New" w:hAnsi="Courier New"/>
          <w:sz w:val="17"/>
        </w:rPr>
        <w:t xml:space="preserve">2.4 Service Centre Addresses (SCA)</w:t>
      </w:r>
    </w:p>
    <w:p>
      <w:r>
        <w:rPr>
          <w:rFonts w:ascii="Courier New" w:hAnsi="Courier New"/>
          <w:sz w:val="17"/>
        </w:rPr>
        <w:t xml:space="preserve">    Nutzung des Teilbereichs (0)10 des Nummern- raums für öffentliche Telefonnetze    Vfg. 19/1998    04. 03. 1998    Reg TP Nr. 4/1998</w:t>
      </w:r>
    </w:p>
    <w:p>
      <w:r>
        <w:rPr>
          <w:rFonts w:ascii="Courier New" w:hAnsi="Courier New"/>
          <w:sz w:val="17"/>
        </w:rPr>
        <w:t xml:space="preserve">2.5 Tarifierungsreferenzzweige (TRZ)</w:t>
      </w:r>
    </w:p>
    <w:p>
      <w:r>
        <w:rPr>
          <w:rFonts w:ascii="Courier New" w:hAnsi="Courier New"/>
          <w:sz w:val="17"/>
        </w:rPr>
        <w:t xml:space="preserve">1.    Vorläufige Regeln für die Zuteilung von Tarifierungsreferenzzweigen    Vfg. 37/1999    14. 04. 1999    Reg TP Nr. 6/1999</w:t>
      </w:r>
    </w:p>
    <w:p>
      <w:r>
        <w:rPr>
          <w:rFonts w:ascii="Courier New" w:hAnsi="Courier New"/>
          <w:sz w:val="17"/>
        </w:rPr>
        <w:t xml:space="preserve">2.    Frist für die Nutzung von TRZ für Testzwecke    Vfg. 10/2000    09. 02. 2000    Reg TP Nr. 3/2000</w:t>
      </w:r>
    </w:p>
    <w:p>
      <w:r>
        <w:rPr>
          <w:rFonts w:ascii="Courier New" w:hAnsi="Courier New"/>
          <w:sz w:val="17"/>
        </w:rPr>
        <w:t xml:space="preserve">3.    Änderung der Antragsberechtigung    Vfg. 34/2003    16. 07. 2003    Reg TP Nr. 14/2003</w:t>
      </w:r>
    </w:p>
    <w:p>
      <w:r>
        <w:rPr>
          <w:rFonts w:ascii="Courier New" w:hAnsi="Courier New"/>
          <w:sz w:val="17"/>
        </w:rPr>
        <w:t xml:space="preserve">2.6 Data Network Identification Code (DNIC)</w:t>
      </w:r>
    </w:p>
    <w:p>
      <w:r>
        <w:rPr>
          <w:rFonts w:ascii="Courier New" w:hAnsi="Courier New"/>
          <w:sz w:val="17"/>
        </w:rPr>
        <w:t xml:space="preserve">    Vorläufiges Vergabeverfahren für die Zuteilung des Data Network Identification Code (DNIC)    Vfg. 118/1992    12. 08. 1992    BMPT Nr. 15/1992</w:t>
      </w:r>
    </w:p>
    <w:p>
      <w:r>
        <w:rPr>
          <w:rFonts w:ascii="Courier New" w:hAnsi="Courier New"/>
          <w:sz w:val="17"/>
        </w:rPr>
        <w:t xml:space="preserve">2.7 ADMD – Namen (Administration Management Domain)</w:t>
      </w:r>
    </w:p>
    <w:p>
      <w:r>
        <w:rPr>
          <w:rFonts w:ascii="Courier New" w:hAnsi="Courier New"/>
          <w:sz w:val="17"/>
        </w:rPr>
        <w:t xml:space="preserve">    Vorläufiges Verfahren zur Notifizierung von öffentlichen Versorgungsbereichen (ADMD) im Mitteilungs-Übermittlungs-System (MHS)    Vfg. 135/1992    09. 09. 1992    BMPT Nr. 17/1992</w:t>
      </w:r>
    </w:p>
    <w:p>
      <w:r>
        <w:rPr>
          <w:rFonts w:ascii="Courier New" w:hAnsi="Courier New"/>
          <w:sz w:val="17"/>
        </w:rPr>
        <w:t xml:space="preserve">2.8 International Carrier Codes (ICC)</w:t>
      </w:r>
    </w:p>
    <w:p>
      <w:r>
        <w:rPr>
          <w:rFonts w:ascii="Courier New" w:hAnsi="Courier New"/>
          <w:sz w:val="17"/>
        </w:rPr>
        <w:t xml:space="preserve">    Notifizierung von International Carrier Codes (ICC)    Vfg. 86/1999    14. 07. 1999    Reg TP Nr. 12/1999</w:t>
      </w:r>
    </w:p>
    <w:p>
      <w:r>
        <w:rPr>
          <w:rFonts w:ascii="Courier New" w:hAnsi="Courier New"/>
          <w:sz w:val="17"/>
        </w:rPr>
        <w:t xml:space="preserve">2.9 Objektkennungsäste für Netzbetreiber und Diensteanbieter (OKA-ND)</w:t>
      </w:r>
    </w:p>
    <w:p>
      <w:r>
        <w:rPr>
          <w:rFonts w:ascii="Courier New" w:hAnsi="Courier New"/>
          <w:sz w:val="17"/>
        </w:rPr>
        <w:t xml:space="preserve">    Vorläufige Regeln für Zuteilung von Objektkennungsästen für Netzbetreiber und Diensteanbieter    Vfg. 149/1999    01. 12. 1999    Reg TP Nr. 22/1999</w:t>
      </w:r>
    </w:p>
    <w:p>
      <w:r>
        <w:rPr>
          <w:rFonts w:ascii="Courier New" w:hAnsi="Courier New"/>
          <w:sz w:val="17"/>
        </w:rPr>
        <w:t xml:space="preserve">2.10 Herstellerkennungen für Telematikprotokolle (HKT)</w:t>
      </w:r>
    </w:p>
    <w:p>
      <w:r>
        <w:rPr>
          <w:rFonts w:ascii="Courier New" w:hAnsi="Courier New"/>
          <w:sz w:val="17"/>
        </w:rPr>
        <w:t xml:space="preserve">    Vorläufige Regeln für die Zuteilung von Herstellerkennungen für Telematikprotokolle    Vfg. 30/2000    22. 03. 2000    Reg TP Nr. 6/2000</w:t>
      </w:r>
    </w:p>
    <w:p>
      <w:r>
        <w:rPr>
          <w:rFonts w:ascii="Courier New" w:hAnsi="Courier New"/>
          <w:sz w:val="17"/>
        </w:rPr>
        <w:t xml:space="preserve">2.11 Internationale Kennungen für mobile Endeinrichtungen (IMEI)</w:t>
      </w:r>
    </w:p>
    <w:p>
      <w:r>
        <w:rPr>
          <w:rFonts w:ascii="Courier New" w:hAnsi="Courier New"/>
          <w:sz w:val="17"/>
        </w:rPr>
        <w:t xml:space="preserve">    Vorläufige Regeln für die Zuteilung von Internationalen Kennungen für mobile Endeinrichtungen    Vfg. 40/2000    05. 04. 2000    Reg TP Nr. 7/2000</w:t>
      </w:r>
    </w:p>
    <w:p>
      <w:r>
        <w:rPr>
          <w:rFonts w:ascii="Courier New" w:hAnsi="Courier New"/>
          <w:sz w:val="17"/>
        </w:rPr>
        <w:t xml:space="preserve">2.12 Individuelle TETRA Teilnehmerkennungen (ITSI)</w:t>
      </w:r>
    </w:p>
    <w:p>
      <w:r>
        <w:rPr>
          <w:rFonts w:ascii="Courier New" w:hAnsi="Courier New"/>
          <w:sz w:val="17"/>
        </w:rPr>
        <w:t xml:space="preserve">    Vorläufige Regeln für die Zuteilung von Individuellen TETRA Teilnehmerkennungen    Vfg. 83/2000    06. 12. 2000    Reg TP Nr. 23/2000</w:t>
      </w:r>
    </w:p>
    <w:p>
      <w:r>
        <w:rPr>
          <w:rFonts w:ascii="Courier New" w:hAnsi="Courier New"/>
          <w:sz w:val="17"/>
        </w:rPr>
        <w:t xml:space="preserve">2.13 Internationale Kennungen für Mobile Teilnehmer (IMSI)</w:t>
      </w:r>
    </w:p>
    <w:p>
      <w:r>
        <w:rPr>
          <w:rFonts w:ascii="Courier New" w:hAnsi="Courier New"/>
          <w:sz w:val="17"/>
        </w:rPr>
        <w:t xml:space="preserve">1.    Vorläufige Regeln für die Zuteilung von Internationalen Kennungen für Mobile Teilnehmer    Vfg. 85/2000    06. 12. 2000    Reg TP Nr. 23/2000</w:t>
      </w:r>
    </w:p>
    <w:p>
      <w:r>
        <w:rPr>
          <w:rFonts w:ascii="Courier New" w:hAnsi="Courier New"/>
          <w:sz w:val="17"/>
        </w:rPr>
        <w:t xml:space="preserve">2.    Änderung beim Antragsverfahren und beim Antragsformular    Vfg. 11/2002    17. 04. 2002    Reg TP Nr. 7/2002</w:t>
      </w:r>
    </w:p>
    <w:p>
      <w:r>
        <w:rPr>
          <w:rFonts w:ascii="Courier New" w:hAnsi="Courier New"/>
          <w:sz w:val="17"/>
        </w:rPr>
        <w:t xml:space="preserve">3.    Antragsberechtigung in besonders begründeten Fällen    Vfg. 55/2003    03. 12. 2003    Reg TP Nr. 24/2003</w:t>
      </w:r>
    </w:p>
    <w:p>
      <w:r>
        <w:rPr>
          <w:color w:val="555555"/>
          <w:sz w:val="17"/>
        </w:rPr>
        <w:t xml:space="preserve">Zitiervorschlag: Anlage TNV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https://recht.nulegal.eu/gesetze/TNV/anlage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