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TNV — Änderungen des Nummernplans</w:t>
      </w:r>
    </w:p>
    <w:p>
      <w:r>
        <w:rPr>
          <w:color w:val="555555"/>
          <w:sz w:val="18"/>
        </w:rPr>
        <w:t xml:space="preserve">TNV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 Bundesnetzagentur kann den Nummernplan ganz oder teilweise mit Wirkung für die Zukunft ändern, soweit dies der Erreichung der Ziele der Regulierung nach § 2 Abs. 2 des Telekommunikationsgesetzes dient und unter Berücksichtigung der Belange im Sinne des § 108 Absatz 6 Satz 3 des Telekommunikationsgesetzes erforderlich ist. Die Änderungen sollen sich an dem Nummerierungskonzept orientieren.</w:t>
      </w:r>
    </w:p>
    <w:p>
      <w:r>
        <w:t xml:space="preserve">(2) Bei Änderungen nach Absatz 1 entscheidet die Bundesnetzagentur unter Berücksichtigung der in Absatz 1 Satz 1 genannten Kriterien ferner, ob und zu welchem Zeitpunkt mit angemessener Übergangsfrist bestehende Zuteilungen ganz oder teilweise widerrufen werden.</w:t>
      </w:r>
    </w:p>
    <w:p>
      <w:r>
        <w:t xml:space="preserve">(3) Vor Änderungen des Nummernplans, die nicht bereits vollständig im Nummerierungskonzept beschrieben sind, ist eine öffentliche Anhörung durchzuführen. § 1 Abs. 3 Satz 2 gilt entsprechend.</w:t>
      </w:r>
    </w:p>
    <w:p>
      <w:r>
        <w:rPr>
          <w:color w:val="555555"/>
          <w:sz w:val="17"/>
        </w:rPr>
        <w:t xml:space="preserve">Zitiervorschlag: § 3 TNV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