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TNV — Inkrafttreten</w:t>
      </w:r>
    </w:p>
    <w:p>
      <w:r>
        <w:rPr>
          <w:color w:val="555555"/>
          <w:sz w:val="18"/>
        </w:rPr>
        <w:t xml:space="preserve">TNV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13 TNV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https://recht.nulegal.eu/gesetze/TNV/13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