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TNV — Nummernplan</w:t>
      </w:r>
    </w:p>
    <w:p>
      <w:r>
        <w:rPr>
          <w:color w:val="555555"/>
          <w:sz w:val="18"/>
        </w:rPr>
        <w:t xml:space="preserve">TNV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Bundesnetzagentur legt in einem Nummernplan für jeden Nummernraum fest, wie dieser strukturiert und ausgestaltet ist. Dazu bestimmt sie insbesondere:</w:t>
      </w:r>
    </w:p>
    <w:p>
      <w:pPr>
        <w:ind w:left="420"/>
      </w:pPr>
      <w:r>
        <w:t xml:space="preserve">1. das Format der Nummern,</w:t>
      </w:r>
    </w:p>
    <w:p>
      <w:pPr>
        <w:ind w:left="420"/>
      </w:pPr>
      <w:r>
        <w:t xml:space="preserve">2. ob und wie eine Untergliederung in Nummernbereiche und eine weitere Untergliederung in Nummernteilbereiche erfolgt,</w:t>
      </w:r>
    </w:p>
    <w:p>
      <w:pPr>
        <w:ind w:left="420"/>
      </w:pPr>
      <w:r>
        <w:t xml:space="preserve">3. den Nutzungszweck,</w:t>
      </w:r>
    </w:p>
    <w:p>
      <w:pPr>
        <w:ind w:left="420"/>
      </w:pPr>
      <w:r>
        <w:t xml:space="preserve">4. ob und unter welchen Voraussetzungen direkte, originäre oder allgemeine Zuteilungen vorgenommen werden,</w:t>
      </w:r>
    </w:p>
    <w:p>
      <w:pPr>
        <w:ind w:left="420"/>
      </w:pPr>
      <w:r>
        <w:t xml:space="preserve">5. die Höchstzahl der einem Unternehmen für bestimmte Nummernarten zuteilbaren Nummern,</w:t>
      </w:r>
    </w:p>
    <w:p>
      <w:pPr>
        <w:ind w:left="420"/>
      </w:pPr>
      <w:r>
        <w:t xml:space="preserve">6. das für Zuteilungen erforderliche Maß an abgeleitet zugeteilten Nummern,</w:t>
      </w:r>
    </w:p>
    <w:p>
      <w:pPr>
        <w:ind w:left="420"/>
      </w:pPr>
      <w:r>
        <w:t xml:space="preserve">7. sonstige Bedingungen für die Nutzung, insbesondere wie viele Tage nach dem Wirksamwerden einer Zuteilung eine Nummer spätestens genutzt sein muss (Nutzungsfrist).</w:t>
      </w:r>
    </w:p>
    <w:p>
      <w:r>
        <w:t xml:space="preserve">(2) Die Bundesnetzagentur gibt den Nummernplan als Allgemeinverfügung im Amtsblatt bekannt, soweit nicht Gründe der nationalen Sicherheit entgegenstehen.</w:t>
      </w:r>
    </w:p>
    <w:p>
      <w:r>
        <w:t xml:space="preserve">(3) Vor der Festlegung nach Absatz 1 ist eine öffentliche Anhörung durchzuführen. Hiervon kann in Ausnahmefällen abgesehen werden, insbesondere wenn Maßnahmen zur Strukturierung und Ausgestaltung des Nummernraums im öffentlichen Interesse erfolgen.</w:t>
      </w:r>
    </w:p>
    <w:p>
      <w:r>
        <w:rPr>
          <w:color w:val="555555"/>
          <w:sz w:val="17"/>
        </w:rPr>
        <w:t xml:space="preserve">Zitiervorschlag: § 1 TNV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https://recht.nulegal.eu/gesetze/TNV/1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