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TNGebV — Erheben von Gebühren</w:t>
      </w:r>
    </w:p>
    <w:p>
      <w:r>
        <w:rPr>
          <w:color w:val="555555"/>
          <w:sz w:val="18"/>
        </w:rPr>
        <w:t xml:space="preserve">Telekommunikations-Nummerngebührenverordnung</w:t>
      </w:r>
    </w:p>
    <w:p>
      <w:r>
        <w:rPr>
          <w:color w:val="555555"/>
          <w:sz w:val="18"/>
        </w:rPr>
        <w:t xml:space="preserve">Historische Fassung: Stand 10.06.2019 bis 01.10.2021. Dies ist nicht die aktuelle Fassung.</w:t>
      </w:r>
    </w:p>
    <w:p>
      <w:r>
        <w:t xml:space="preserve">Die für individuell zurechenbare öffentliche Leistungen im Zusammenhang mit Entscheidungen über die Zuteilung von Nummern nach dem Telekommunikationsgesetz zu erhebenden Gebühren bestimmen sich nach dem Gebührenverzeichnis in der Anlage. Daneben werden Auslagen nach § 23 Absatz 6 des Bundesgebührengesetzes gesondert erhoben.</w:t>
      </w:r>
    </w:p>
    <w:p>
      <w:r>
        <w:rPr>
          <w:color w:val="555555"/>
          <w:sz w:val="17"/>
        </w:rPr>
        <w:t xml:space="preserve">Zitiervorschlag: § 1 TNGebV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https://recht.nulegal.eu/gesetze/TNGebV/1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