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TNAV (Bayern) — Gründungs-Chairs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Gründungspräsident bestellt im Einvernehmen mit dem Staatsministerium für jedes Department einen Gründungs-Chair aus dem Kreis der an die Universität berufenen Professoren. Die erste Amtszeit des Gründungs-Chairs beträgt fünf Jahre. Die weiteren Amtszeiten werden in der Grundordnung geregelt.</w:t>
      </w:r>
    </w:p>
    <w:p>
      <w:r>
        <w:t xml:space="preserve">(2) Der Vice-Chair vertritt den Gründungs-Chair. Er wird vom Gründungs-Chair aus dem Kreis der an die Universität berufenen Professoren bestellt.</w:t>
      </w:r>
    </w:p>
    <w:p>
      <w:r>
        <w:rPr>
          <w:color w:val="555555"/>
          <w:sz w:val="17"/>
        </w:rPr>
        <w:t xml:space="preserve">Zitiervorschlag: § 8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