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TNAV (Bayern) — Kanzler</w:t>
      </w:r>
    </w:p>
    <w:p>
      <w:r>
        <w:rPr>
          <w:color w:val="555555"/>
          <w:sz w:val="18"/>
        </w:rPr>
        <w:t xml:space="preserve">TU Nürnberg-Aufbauverordnung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Kanzler wird vom Staatsminister ernannt. Der Gründungspräsident kann bestimmen, dass der Kanzler für die Zeit der Aufbauphase die Bezeichnung Gründungsvizepräsident führt.</w:t>
      </w:r>
    </w:p>
    <w:p>
      <w:r>
        <w:t xml:space="preserve">(2) Für den Kanzler bestellt der Gründungspräsident im Einvernehmen mit dem Staatsministerium sowie dem Kanzler einen Vertreter.</w:t>
      </w:r>
    </w:p>
    <w:p>
      <w:r>
        <w:rPr>
          <w:color w:val="555555"/>
          <w:sz w:val="17"/>
        </w:rPr>
        <w:t xml:space="preserve">Zitiervorschlag: § 5 TNAV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https://recht.nulegal.eu/gesetze/TNAV/5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