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TMZ-Gesetz (Nordrhein-Westfalen) — Zuständigkeit bei Ordnungswidrigkeiten</w:t>
      </w:r>
    </w:p>
    <w:p>
      <w:r>
        <w:rPr>
          <w:color w:val="555555"/>
          <w:sz w:val="18"/>
        </w:rPr>
        <w:t xml:space="preserve">Telemedienzuständigkeitsgesetz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Zuständige Verwaltungsbehörde im Sinne des § 36 Absatz 1 Nummer 1 des Gesetzes über Ordnungswidrigkeiten in der Fassung der Bekanntmachung vom 19. Februar 1987 (BGBl. I S. 602), das zuletzt durch Artikel 4 des Gesetzes vom 17. Juli 2025 (BGBl. 2025 I Nr. 163) geändert worden ist, ist in den Fällen des</w:t>
      </w:r>
    </w:p>
    <w:p>
      <w:r>
        <w:t xml:space="preserve">1. § 33 Absatz 1 und 2 Nummer 1 und 2 des Digitale-Dienste-Gesetzes vom 6. Mai 2024 (BGBl. 2024 I Nr. 149) in der jeweils geltenden Fassung die LfM,</w:t>
      </w:r>
    </w:p>
    <w:p>
      <w:r>
        <w:t xml:space="preserve">2. § 28 Absatz 1 Nummer 10 bis 13 des Telekommunikation-Digitale-Dienste-Datenschutz-Gesetzes die oder der Datenschutzbeauftragte der LfM, die oder der Rundfunkdatenschutzbeauftragte im Sinne des § 31j des Medienstaatsvertrages beim öffentlich-rechtlichen Rundfunk oder die oder der LDI, soweit die jeweilige Aufsichtszuständigkeit begründet ist.</w:t>
      </w:r>
    </w:p>
    <w:p>
      <w:r>
        <w:rPr>
          <w:color w:val="555555"/>
          <w:sz w:val="17"/>
        </w:rPr>
        <w:t xml:space="preserve">Zitiervorschlag: § 2 TMZ-Gesetz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https://recht.nulegal.eu/gesetze/TMZ-Gesetz/2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