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TMZ-Gesetz (Nordrhein-Westfalen) — Aufsicht bei Telemedien</w:t>
      </w:r>
    </w:p>
    <w:p>
      <w:r>
        <w:rPr>
          <w:color w:val="555555"/>
          <w:sz w:val="18"/>
        </w:rPr>
        <w:t xml:space="preserve">Telemedienzuständigkeitsgesetz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Landesanstalt für Medien Nordrhein-Westfalen (im Folgenden LfM) ist die nach § 24 Absatz 3, § 104 Absatz 1 sowie § 106 Absatz 3 des Medienstaatsvertrages vom 14. bis 28. April 2020 (GV. NRW. S. 524) in der jeweils geltenden Fassung zuständige Aufsichtsbehörde für das gesamte Land Nordrhein-Westfalen, soweit Absatz 2 nichts Abweichendes bestimmt.</w:t>
      </w:r>
    </w:p>
    <w:p>
      <w:r>
        <w:t xml:space="preserve">(2) Die oder der Landesbeauftragte für Datenschutz und Informationsfreiheit, im Folgenden LDI, überwacht in ihrem oder seinem Bereich die Einhaltung der Bestimmungen des § 23 des Medienstaatsvertrages, Artikel 1 des Staatsvertrages zur Modernisierung der Medienordnung in Deutschland vom 14. bis 28. April 2020 – Bek. vom 30. Juni 2020 (GV. NRW. S. 524), über den Datenschutz, der §§ 19 bis 25 des Telekommunikation-Digitale-Dienste-Datenschutz-Gesetzes vom 23. Juni 2021 (BGBl. I S. 1982; 2022 I S. 1045) in der jeweils geltenden Fassung sowie sonstiger datenschutzrechtlicher Bestimmungen, soweit nicht die Zuständigkeit der oder des Datenschutzbeauftragten der LfM, der oder des Rundfunkdatenschutzbeauftragten im Sinne des § 31j des Medienstaatsvertrages beim öffentlich-rechtlichen Rundfunk oder ein Fall des § 113 Satz 3 des Medienstaatsvertrages vorliegt. Im Hinblick auf die Befugnisse der oder des LDI im Rahmen ihrer oder seiner Aufsichtstätigkeit über die Einhaltung der Bestimmungen nach dem Telekommunikation-Digitale-Dienste-Datenschutz-Gesetz findet Artikel 58 Absatz 1 bis 5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2; L 74 vom 4.3.2021, S. 35) entsprechende Anwendung.</w:t>
      </w:r>
    </w:p>
    <w:p>
      <w:r>
        <w:t xml:space="preserve">(3) Die Bezirksregierung Düsseldorf ist für das gesamte Land Nordrhein-Westfalen zuständig für die Überwachung und Untersagung von Glücksspielen im Internet und der Werbung hierfür im Internet.</w:t>
      </w:r>
    </w:p>
    <w:p>
      <w:r>
        <w:rPr>
          <w:color w:val="555555"/>
          <w:sz w:val="17"/>
        </w:rPr>
        <w:t xml:space="preserve">Zitiervorschlag: § 1 TMZ-Gesetz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https://recht.nulegal.eu/gesetze/TMZ-Gesetz/1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