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TMG</w:t>
      </w:r>
    </w:p>
    <w:p>
      <w:r>
        <w:rPr>
          <w:color w:val="555555"/>
          <w:sz w:val="18"/>
        </w:rPr>
        <w:t xml:space="preserve">Telemediengesetz</w:t>
      </w:r>
    </w:p>
    <w:p>
      <w:r>
        <w:rPr>
          <w:color w:val="555555"/>
          <w:sz w:val="18"/>
        </w:rPr>
        <w:t xml:space="preserve">Historische Fassung: Stand 15.01.2022 bis 14.05.2024. Dies ist nicht die aktuelle Fassung.</w:t>
      </w:r>
    </w:p>
    <w:p>
      <w:r>
        <w:t xml:space="preserve">Abschnitt 1 Allgemeine Bestimmungen</w:t>
      </w:r>
    </w:p>
    <w:p>
      <w:r>
        <w:rPr>
          <w:rFonts w:ascii="Courier New" w:hAnsi="Courier New"/>
          <w:sz w:val="17"/>
        </w:rPr>
        <w:t xml:space="preserve">§ 1    Anwendungsbereich</w:t>
      </w:r>
    </w:p>
    <w:p>
      <w:r>
        <w:rPr>
          <w:rFonts w:ascii="Courier New" w:hAnsi="Courier New"/>
          <w:sz w:val="17"/>
        </w:rPr>
        <w:t xml:space="preserve">§ 2    Begriffsbestimmungen</w:t>
      </w:r>
    </w:p>
    <w:p>
      <w:r>
        <w:rPr>
          <w:rFonts w:ascii="Courier New" w:hAnsi="Courier New"/>
          <w:sz w:val="17"/>
        </w:rPr>
        <w:t xml:space="preserve">§ 2a    Europäisches Sitzland</w:t>
      </w:r>
    </w:p>
    <w:p>
      <w:r>
        <w:rPr>
          <w:rFonts w:ascii="Courier New" w:hAnsi="Courier New"/>
          <w:sz w:val="17"/>
        </w:rPr>
        <w:t xml:space="preserve">§ 2b    Listen der audiovisuellen Mediendiensteanbieter und Videosharingplattform-Anbieter</w:t>
      </w:r>
    </w:p>
    <w:p>
      <w:r>
        <w:rPr>
          <w:rFonts w:ascii="Courier New" w:hAnsi="Courier New"/>
          <w:sz w:val="17"/>
        </w:rPr>
        <w:t xml:space="preserve">§ 2c    Auskunftsverlangen der zuständigen Behörde</w:t>
      </w:r>
    </w:p>
    <w:p>
      <w:r>
        <w:rPr>
          <w:rFonts w:ascii="Courier New" w:hAnsi="Courier New"/>
          <w:sz w:val="17"/>
        </w:rPr>
        <w:t xml:space="preserve">§ 3    Herkunftslandprinzip</w:t>
      </w:r>
    </w:p>
    <w:p>
      <w:r>
        <w:t xml:space="preserve">Abschnitt 2 Zulassungsfreiheit, Informationspflichten</w:t>
      </w:r>
    </w:p>
    <w:p>
      <w:r>
        <w:rPr>
          <w:rFonts w:ascii="Courier New" w:hAnsi="Courier New"/>
          <w:sz w:val="17"/>
        </w:rPr>
        <w:t xml:space="preserve">§ 4    Zulassungsfreiheit</w:t>
      </w:r>
    </w:p>
    <w:p>
      <w:r>
        <w:rPr>
          <w:rFonts w:ascii="Courier New" w:hAnsi="Courier New"/>
          <w:sz w:val="17"/>
        </w:rPr>
        <w:t xml:space="preserve">§ 5    Allgemeine Informationspflichten</w:t>
      </w:r>
    </w:p>
    <w:p>
      <w:r>
        <w:rPr>
          <w:rFonts w:ascii="Courier New" w:hAnsi="Courier New"/>
          <w:sz w:val="17"/>
        </w:rPr>
        <w:t xml:space="preserve">§ 6    Besondere Pflichten bei kommerziellen Kommunikationen</w:t>
      </w:r>
    </w:p>
    <w:p>
      <w:r>
        <w:t xml:space="preserve">Abschnitt 3 Verantwortlichkeit</w:t>
      </w:r>
    </w:p>
    <w:p>
      <w:r>
        <w:rPr>
          <w:rFonts w:ascii="Courier New" w:hAnsi="Courier New"/>
          <w:sz w:val="17"/>
        </w:rPr>
        <w:t xml:space="preserve">§ 7    Allgemeine Grundsätze</w:t>
      </w:r>
    </w:p>
    <w:p>
      <w:r>
        <w:rPr>
          <w:rFonts w:ascii="Courier New" w:hAnsi="Courier New"/>
          <w:sz w:val="17"/>
        </w:rPr>
        <w:t xml:space="preserve">§ 8    Durchleitung von Informationen</w:t>
      </w:r>
    </w:p>
    <w:p>
      <w:r>
        <w:rPr>
          <w:rFonts w:ascii="Courier New" w:hAnsi="Courier New"/>
          <w:sz w:val="17"/>
        </w:rPr>
        <w:t xml:space="preserve">§ 9    Zwischenspeicherung zur beschleunigten Übermittlung von Informationen</w:t>
      </w:r>
    </w:p>
    <w:p>
      <w:r>
        <w:rPr>
          <w:rFonts w:ascii="Courier New" w:hAnsi="Courier New"/>
          <w:sz w:val="17"/>
        </w:rPr>
        <w:t xml:space="preserve">§ 10    Speicherung von Informationen</w:t>
      </w:r>
    </w:p>
    <w:p>
      <w:r>
        <w:t xml:space="preserve">Abschnitt 4 Melde- und Abhilfeverfahren der Videosharingplattform-Anbieter</w:t>
      </w:r>
    </w:p>
    <w:p>
      <w:r>
        <w:rPr>
          <w:rFonts w:ascii="Courier New" w:hAnsi="Courier New"/>
          <w:sz w:val="17"/>
        </w:rPr>
        <w:t xml:space="preserve">§ 10a    Verfahren zur Meldung von Nutzerbeschwerden</w:t>
      </w:r>
    </w:p>
    <w:p>
      <w:r>
        <w:rPr>
          <w:rFonts w:ascii="Courier New" w:hAnsi="Courier New"/>
          <w:sz w:val="17"/>
        </w:rPr>
        <w:t xml:space="preserve">§ 10b    Verfahren zur Abhilfe von Nutzerbeschwerden</w:t>
      </w:r>
    </w:p>
    <w:p>
      <w:r>
        <w:rPr>
          <w:rFonts w:ascii="Courier New" w:hAnsi="Courier New"/>
          <w:sz w:val="17"/>
        </w:rPr>
        <w:t xml:space="preserve">§ 10c    Allgemeine Geschäftsbedingungen</w:t>
      </w:r>
    </w:p>
    <w:p>
      <w:r>
        <w:t xml:space="preserve">Abschnitt 5 Bußgeldvorschriften</w:t>
      </w:r>
    </w:p>
    <w:p>
      <w:r>
        <w:rPr>
          <w:rFonts w:ascii="Courier New" w:hAnsi="Courier New"/>
          <w:sz w:val="17"/>
        </w:rPr>
        <w:t xml:space="preserve">§ 11    Bußgeldvorschriften</w:t>
      </w:r>
    </w:p>
    <w:p>
      <w:r>
        <w:rPr>
          <w:color w:val="555555"/>
          <w:sz w:val="17"/>
        </w:rPr>
        <w:t xml:space="preserve">Zitiervorschlag: Inhaltsübersicht TMG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https://recht.nulegal.eu/gesetze/TMG/inhaltsuebersicht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