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10c TMG — Allgemeine Geschäftsbedingungen</w:t>
      </w:r>
    </w:p>
    <w:p>
      <w:r>
        <w:rPr>
          <w:color w:val="555555"/>
          <w:sz w:val="18"/>
        </w:rPr>
        <w:t xml:space="preserve">Telemediengesetz</w:t>
      </w:r>
    </w:p>
    <w:p>
      <w:r>
        <w:rPr>
          <w:color w:val="555555"/>
          <w:sz w:val="18"/>
        </w:rPr>
        <w:t xml:space="preserve">Historische Fassung: Stand 27.11.2020 bis 14.05.2024. Dies ist nicht die aktuelle Fassung.</w:t>
      </w:r>
    </w:p>
    <w:p>
      <w:r>
        <w:t xml:space="preserve">(1) Videosharingplattform-Anbieter sind verpflichtet, mit ihren Nutzern wirksam zu vereinbaren, dass diesen die Verbreitung unzulässiger audiovisueller kommerzieller Kommunikation verboten ist.</w:t>
      </w:r>
    </w:p>
    <w:p>
      <w:r>
        <w:t xml:space="preserve">(2) Unzulässige audiovisuelle kommerzielle Kommunikation im Sinne dieser Vorschrift ist audiovisuelle kommerzielle Kommunikation, die gegen folgende Vorschriften verstößt:</w:t>
      </w:r>
    </w:p>
    <w:p>
      <w:pPr>
        <w:ind w:left="420"/>
      </w:pPr>
      <w:r>
        <w:t xml:space="preserve">1. § 20 des Tabakerzeugnisgesetzes vom 4. April 2016 (BGBl. I S. 569), das zuletzt durch Artikel 96 der Verordnung vom 19. Juni 2020 (BGBl. I S. 1328) geändert worden ist, oder</w:t>
      </w:r>
    </w:p>
    <w:p>
      <w:pPr>
        <w:ind w:left="420"/>
      </w:pPr>
      <w:r>
        <w:t xml:space="preserve">2. § 10 des Heilmittelwerbegesetzes in der Fassung der Bekanntmachung vom 19. Oktober 1994 (BGBl. I S. 3068), das zuletzt durch Artikel 6 des Gesetzes vom 28. April 2020 (BGBl. I S. 960) geändert worden ist.</w:t>
      </w:r>
    </w:p>
    <w:p>
      <w:r>
        <w:rPr>
          <w:color w:val="555555"/>
          <w:sz w:val="17"/>
        </w:rPr>
        <w:t xml:space="preserve">Zitiervorschlag: § 10c TMG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https://recht.nulegal.eu/gesetze/TMG/10c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