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TMG — Anwendungsbereich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01.12.2021 bis 14.05.2024. Dies ist nicht die aktuelle Fassung.</w:t>
      </w:r>
    </w:p>
    <w:p>
      <w:r>
        <w:t xml:space="preserve">(1) Dieses Gesetz gilt für alle elektronischen Informations- und Kommunikationsdienste, soweit sie nicht Telekommunikationsdienste nach § 3 Nummer 61 des Telekommunikationsgesetzes, telekommunikationsgestützte Dienste nach § 3 Nummer 63 des Telekommunikationsgesetzes oder Rundfunk nach § 2 des Rundfunkstaatsvertrages sind (Telemedien). Dieses Gesetz gilt für alle Anbieter einschließlich der öffentlichen Stellen unabhängig davon, ob für die Nutzung ein Entgelt erhoben wird.</w:t>
      </w:r>
    </w:p>
    <w:p>
      <w:r>
        <w:t xml:space="preserve">(2) Dieses Gesetz gilt nicht für den Bereich der Besteuerung.</w:t>
      </w:r>
    </w:p>
    <w:p>
      <w:r>
        <w:t xml:space="preserve">(3) Das Telekommunikationsgesetz und die Pressegesetze bleiben unberührt.</w:t>
      </w:r>
    </w:p>
    <w:p>
      <w:r>
        <w:t xml:space="preserve">(4) Die an die Inhalte von Telemedien zu richtenden besonderen Anforderungen ergeben sich aus dem Staatsvertrag für Rundfunk und Telemedien (Rundfunkstaatsvertrag).</w:t>
      </w:r>
    </w:p>
    <w:p>
      <w:r>
        <w:t xml:space="preserve">(5) Dieses Gesetz trifft weder Regelungen im Bereich des internationalen Privatrechts noch regelt es die Zuständigkeit der Gerichte.</w:t>
      </w:r>
    </w:p>
    <w:p>
      <w:r>
        <w:t xml:space="preserve">(6) Die besonderen Bestimmungen dieses Gesetzes für audiovisuelle Mediendienste gelten nicht für Dienste, die</w:t>
      </w:r>
    </w:p>
    <w:p>
      <w:pPr>
        <w:ind w:left="420"/>
      </w:pPr>
      <w:r>
        <w:t xml:space="preserve">1. ausschließlich zum Empfang in Drittstaaten bestimmt sind und</w:t>
      </w:r>
    </w:p>
    <w:p>
      <w:pPr>
        <w:ind w:left="420"/>
      </w:pPr>
      <w:r>
        <w:t xml:space="preserve">2. weder unmittelbar noch mittelbar von der Allgemeinheit mit handelsüblichen Verbraucherendgeräten in einem Mitgliedstaat empfangen werden.</w:t>
      </w:r>
    </w:p>
    <w:p>
      <w:r>
        <w:rPr>
          <w:color w:val="555555"/>
          <w:sz w:val="17"/>
        </w:rPr>
        <w:t xml:space="preserve">Zitiervorschlag: § 1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