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TLMV — Kennzeichnung von Erzeugnissen für Verbraucher</w:t>
      </w:r>
    </w:p>
    <w:p>
      <w:r>
        <w:rPr>
          <w:color w:val="555555"/>
          <w:sz w:val="18"/>
        </w:rPr>
        <w:t xml:space="preserve">Verordnung über tiefgefrorene Lebensmittel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Vorverpackte tiefgefrorene Lebensmittel, die zur Abgabe an Verbraucher bestimmt sind, dürfen nur in den Verkehr gebracht werden, wenn zusätzlich zu den Angaben, die durch die Verordnung (EU) Nr. 1169/2011 des Europäischen Parlaments und des Rates vom 25. Oktober 2011 betreffend die Information der Verbraucher über Lebensmittel und zur Änderung der Verordnungen (EG) Nr. 1924/2006 und (EG) Nr. 1925/2006 des Europäischen Parlaments und des Rates und zur Aufhebung der Richtlinie 87/250/EWG der Kommission, der Richtlinie 90/496/EWG des Rates, der Richtlinie 1999/10/EG der Kommission, der Richtlinie 2000/13/EG des Europäischen Parlaments und des Rates, der Richtlinien 2002/67/EG und 2008/5/EG der Kommission und der Verordnung (EG) Nr. 608/2004 der Kommission (ABl. L 304 vom 22.11.2011, S. 18; L 331 vom 18.11.2014, S. 41; L 50 vom 21.2.2015, S. 48; L 266 vom 30.9.2016, S. 7) in der jeweils geltenden Fassung vorgeschrieben sind, folgende Angaben angegeben sind:</w:t>
      </w:r>
    </w:p>
    <w:p>
      <w:pPr>
        <w:ind w:left="420"/>
      </w:pPr>
      <w:r>
        <w:t xml:space="preserve">1. die Worte "tiefgefroren", "tiefgekühlt", "Tiefkühlkost" oder "gefrostet" in Verbindung mit der Bezeichnung des Lebensmittels,</w:t>
      </w:r>
    </w:p>
    <w:p>
      <w:pPr>
        <w:ind w:left="420"/>
      </w:pPr>
      <w:r>
        <w:t xml:space="preserve">2. der Zeitraum, während dessen das Lebensmittel beim Verbraucher gelagert werden kann, sowie die Aufbewahrungstemperatur oder die zur Aufbewahrung erforderliche Anlage,</w:t>
      </w:r>
    </w:p>
    <w:p>
      <w:pPr>
        <w:ind w:left="420"/>
      </w:pPr>
      <w:r>
        <w:t xml:space="preserve">3. die Worte "nach dem Auftauen nicht wieder einfrieren" oder ein gleichsinniger Hinweis,</w:t>
      </w:r>
    </w:p>
    <w:p>
      <w:pPr>
        <w:ind w:left="420"/>
      </w:pPr>
      <w:r>
        <w:t xml:space="preserve">4. eine Angabe zur Feststellung der Partie.</w:t>
      </w:r>
    </w:p>
    <w:p>
      <w:r>
        <w:t xml:space="preserve">Dem Verbraucher stehen Anbieter von Gemeinschaftsverpflegung sowie Gewerbetreibende, soweit sie Lebensmittel zum Verbrauch innerhalb ihrer Betriebsstätte beziehen, gleich.</w:t>
      </w:r>
    </w:p>
    <w:p>
      <w:r>
        <w:rPr>
          <w:color w:val="555555"/>
          <w:sz w:val="17"/>
        </w:rPr>
        <w:t xml:space="preserve">Zitiervorschlag: § 5 TLMV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https://recht.nulegal.eu/gesetze/TLMV/5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