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TLMV — Amtliche Lebensmittelüberwachung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amtliche Überwachung der Temperaturen tiefgefrorener Lebensmittel erfolgt gemäß den Anhängen I und II der Richtlinie 92/2/EWG der Kommission vom 13. Januar 1992 zur Festlegung des Probenahmeverfahrens und des gemeinschaftlichen Analyseverfahrens für die amtliche Kontrolle der Temperaturen von tiefgefrorenen Lebensmitteln (ABl. EG Nr. L 34 S. 30). Das in Anhang II dieser Richtlinie beschriebene Temperaturmessverfahren darf nur dann angewandt werden, wenn sich auf Grund der Kontrolle berechtigte Zweifel an der Einhaltung der vorgeschriebenen Temperaturgrenzwerte ergeben haben.</w:t>
      </w:r>
    </w:p>
    <w:p>
      <w:r>
        <w:t xml:space="preserve">(2) Es können auch andere als in Absatz 1 genannte, wissenschaftlich vergleichbare Temperaturmessverfahren angewandt werden. Bei voneinander abweichenden Ergebnissen sind die mit den gemeinschaftlichen Verfahren erhaltenen Ergebnisse ausschlaggebend.</w:t>
      </w:r>
    </w:p>
    <w:p>
      <w:r>
        <w:rPr>
          <w:color w:val="555555"/>
          <w:sz w:val="17"/>
        </w:rPr>
        <w:t xml:space="preserve">Zitiervorschlag: § 2b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