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TLMV — Lufttemperaturmessung</w:t>
      </w:r>
    </w:p>
    <w:p>
      <w:r>
        <w:rPr>
          <w:color w:val="555555"/>
          <w:sz w:val="18"/>
        </w:rPr>
        <w:t xml:space="preserve">Verordnung über tiefgefrorene Lebensmittel</w:t>
      </w:r>
    </w:p>
    <w:p>
      <w:r>
        <w:rPr>
          <w:color w:val="555555"/>
          <w:sz w:val="18"/>
        </w:rPr>
        <w:t xml:space="preserve">Stand: 10.06.2019 (konsolidierte Textfassung, kein amtliches Inkrafttretensdatum)</w:t>
      </w:r>
    </w:p>
    <w:p>
      <w:r>
        <w:t xml:space="preserve">(1) Der für die Beförderung sowie für die Einlagerungs- und Lagereinrichtungen für tiefgefrorene Lebensmittel Verantwortliche hat sicherzustellen, dass während des Betriebs der Beförderungsmittel oder der Einlagerungs- oder Lagereinrichtungen die Lufttemperatur, der tiefgefrorene Lebensmittel ausgesetzt sind, mit Messgeräten nach Artikel 2 Abs. 1 der Verordnung (EG) Nr. 37/2005 der Kommission vom 12. Januar 2005 zur Überwachung der Temperaturen von tiefgefrorenen Lebensmitteln in Beförderungsmitteln sowie Einlagerungs- und Lagereinrichtungen (ABl. EU Nr. L 10 S. 18, Nr. L 153 S. 43) so häufig und in regelmäßigen Zeitabständen gemessen und aufgezeichnet wird, dass das Temperaturgeschehen nachvollziehbar ist.</w:t>
      </w:r>
    </w:p>
    <w:p>
      <w:r>
        <w:t xml:space="preserve">(2) Abweichend von Absatz 1 ist die Lufttemperaturmessung in Tiefkühleinrichtungen mit einem Fassungsvermögen von weniger als 10 Kubikmetern, die im Einzelhandel zur Lagerung von Reservevorräten dienen, durch den für die Lagerung Verantwortlichen mit mindestens einem gut sichtbaren Thermometer sicherzustellen. Das Thermometer muss bei offenen Tiefkühlmöbeln die Lufttemperatur auf der Seite der Luftrückführung in Höhe der maximalen Füllhöhe anzeigen. Die Füllhöhe ist deutlich zu kennzeichnen.</w:t>
      </w:r>
    </w:p>
    <w:p>
      <w:r>
        <w:rPr>
          <w:color w:val="555555"/>
          <w:sz w:val="17"/>
        </w:rPr>
        <w:t xml:space="preserve">Zitiervorschlag: § 2a TLMV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https://recht.nulegal.eu/gesetze/TLMV/2a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