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TKrMeldpflV 1983</w:t>
      </w:r>
    </w:p>
    <w:p>
      <w:r>
        <w:rPr>
          <w:color w:val="555555"/>
          <w:sz w:val="18"/>
        </w:rPr>
        <w:t xml:space="preserve">Verordnung über meldepflichtige Tierkrankheiten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Die zuständige Behörde gibt jede Meldung nach § 1 dem Bundesministerium für Ernährung und Landwirtschaft im Wege der elektronischen Datenübertragung unter Verwendung des EDV-Programms „Tierseuchennachrichten“ weiter. Die Weitergabe erfolgt spätestens am ersten Arbeitstag der Kalenderwoche, die derjenigen folgt, in der der zuständigen Behörde die Meldung zugegangen ist.</w:t>
      </w:r>
    </w:p>
    <w:p>
      <w:r>
        <w:rPr>
          <w:color w:val="555555"/>
          <w:sz w:val="17"/>
        </w:rPr>
        <w:t xml:space="preserve">Zitiervorschlag: § 2 TKrMeldpflV 1983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https://recht.nulegal.eu/gesetze/TKrMeldpflV%201983/2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