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TKabelVtrAG</w:t>
      </w:r>
    </w:p>
    <w:p>
      <w:r>
        <w:rPr>
          <w:color w:val="555555"/>
          <w:sz w:val="18"/>
        </w:rPr>
        <w:t xml:space="preserve">Gesetz zur Ausführung des internationalen Vertrages zum Schutze der unterseeischen Telegraphenkabel vom 14. März 1884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Bestimmungen der Artikel 5 (Absatz 2 bis 4), 6 und 7 des internationalen Vertrages zum Schutze der unterseeischen Telegraphenkabel vom 14. März 1884 finden bezüglich der unterseeischen Telegraphenkabel der in Artikel 1 des Vertrages bezeichneten Art auch innerhalb der deutschen Küstengewässer Anwendung.</w:t>
      </w:r>
    </w:p>
    <w:p>
      <w:r>
        <w:rPr>
          <w:color w:val="555555"/>
          <w:sz w:val="17"/>
        </w:rPr>
        <w:t xml:space="preserve">Zitiervorschlag: § 1 TKabelVtrAG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https://recht.nulegal.eu/gesetze/TKabelVtrAG/1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