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TKV (Brandenburg) — Anforderungen und Noten</w:t>
      </w:r>
    </w:p>
    <w:p>
      <w:r>
        <w:rPr>
          <w:color w:val="555555"/>
          <w:sz w:val="18"/>
        </w:rPr>
        <w:t xml:space="preserve">Telekolleg-Verordnung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das Telekolleg gelten grundsätzlich die Anforderungen der Fachoberschule mit dem Bildungsgang zum Erwerb der Fachhochschulreife. Der Unterrichtsstoff wird durch die Lehr und Lernmaterialien, die für jeden Lehrgang angeboten werden, bestimmt.</w:t>
      </w:r>
    </w:p>
    <w:p>
      <w:r>
        <w:t xml:space="preserve">(2) Die Leistungen im Telekolleg werden mit den Noten „sehr gut“ (Note 1) bis „ungenügend“ (Note 6) bewertet.</w:t>
      </w:r>
    </w:p>
    <w:p>
      <w:r>
        <w:t xml:space="preserve">(3) Auf dem Zeugnis der Fachhochschulreife wird eine Durchschnittsnote ausgewiesen, die aus Note und Zehntelnote besteht.</w:t>
      </w:r>
    </w:p>
    <w:p>
      <w:r>
        <w:rPr>
          <w:color w:val="555555"/>
          <w:sz w:val="17"/>
        </w:rPr>
        <w:t xml:space="preserve">Zitiervorschlag: § 10 TKV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