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TKTransparenzV — Darstellung und Speicherung von anbietereigenen Messergebnissen</w:t>
      </w:r>
    </w:p>
    <w:p>
      <w:r>
        <w:rPr>
          <w:color w:val="555555"/>
          <w:sz w:val="18"/>
        </w:rPr>
        <w:t xml:space="preserve">TK-Transparenzverordnung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Anbieter öffentlich zugänglicher Telekommunikationsdienste, bei denen es sich weder um nummernunabhängige interpersonelle Telekommunikationsdienste noch um für die Bereitstellung von Diensten der Maschine-Maschine-Kommunikation genutzte Übertragungsdienste handelt, müssen im Fall einer anbietereigenen Messung nach § 6 Absatz 1 Nummer 1 oder 2 die Ergebnisse</w:t>
      </w:r>
    </w:p>
    <w:p>
      <w:pPr>
        <w:ind w:left="420"/>
      </w:pPr>
      <w:r>
        <w:t xml:space="preserve">1. direkt im Anschluss an die Messung gemäß der Anlage darstellen und</w:t>
      </w:r>
    </w:p>
    <w:p>
      <w:pPr>
        <w:ind w:left="420"/>
      </w:pPr>
      <w:r>
        <w:t xml:space="preserve">2. so bereithalten, dass sie auf der Internetseite des Anbieters im Online-Kundencenter abgerufen und ausgedruckt werden können.</w:t>
      </w:r>
    </w:p>
    <w:p>
      <w:r>
        <w:t xml:space="preserve">(2) Die Ergebnisse sind mindestens für sechs Monate bereitzuhalten.</w:t>
      </w:r>
    </w:p>
    <w:p>
      <w:r>
        <w:rPr>
          <w:color w:val="555555"/>
          <w:sz w:val="17"/>
        </w:rPr>
        <w:t xml:space="preserve">Zitiervorschlag: § 8 TKTransparenzV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https://recht.nulegal.eu/gesetze/TKTransparenzV/8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