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TKTransparenzV — Information zur Überprüfbarkeit der Datenübertragungsrate</w:t>
      </w:r>
    </w:p>
    <w:p>
      <w:r>
        <w:rPr>
          <w:color w:val="555555"/>
          <w:sz w:val="18"/>
        </w:rPr>
        <w:t xml:space="preserve">TK-Transparenzverordnung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Anbieter öffentlich zugänglicher Telekommunikationsdienste, bei denen es sich weder um nummernunabhängige interpersonelle Telekommunikationsdienste noch um für die Bereitstellung von Diensten der Maschine-Maschine-Kommunikation genutzte Übertragungsdienste handelt, müssen Verbraucher unverzüglich nach der Schaltung des jeweiligen Anschlusses auf die Überprüfbarkeit der Datenübertragungsrate nach § 6 Absatz 1 hinweisen.</w:t>
      </w:r>
    </w:p>
    <w:p>
      <w:r>
        <w:t xml:space="preserve">(2) Sofern die Schaltung des jeweiligen Anschlusses vor Inkrafttreten dieser Verordnung erfolgt ist, sind Verbraucher gemäß Absatz 3 unverzüglich auf die Überprüfbarkeit der Datenübertragungsrate nach § 6 Absatz 1 hinzuweisen.</w:t>
      </w:r>
    </w:p>
    <w:p>
      <w:r>
        <w:t xml:space="preserve">(3) Die Hinweise nach den Absätzen 1 und 2 haben durch Fernkommunikationsmittel in Textform, insbesondere durch E-Mail oder SMS, zu erfolgen. Dabei ist ein direkter Link auf den Ort anzugeben, an dem die Angebote zur Messung abgerufen werden können.</w:t>
      </w:r>
    </w:p>
    <w:p>
      <w:r>
        <w:rPr>
          <w:color w:val="555555"/>
          <w:sz w:val="17"/>
        </w:rPr>
        <w:t xml:space="preserve">Zitiervorschlag: § 7 TKTransparenzV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https://recht.nulegal.eu/gesetze/TKTransparenzV/7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