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TKTransparenzV — Überprüfbarkeit der Datenübertragungsrate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Anbieter öffentlich zugänglicher Telekommunikationsdienste, bei denen es sich weder um nummernunabhängige interpersonelle Telekommunikationsdienste noch um für die Bereitstellung von Diensten der Maschine-Maschine-Kommunikation genutzte Übertragungsdienste handelt, müssen es Verbrauchern ermöglichen, sich nach der Schaltung des Anschlusses über die aktuelle Qualität der in Absatz 2 genannten Produktmerkmale zu informieren, indem</w:t>
      </w:r>
    </w:p>
    <w:p>
      <w:pPr>
        <w:ind w:left="420"/>
      </w:pPr>
      <w:r>
        <w:t xml:space="preserve">1. eine anbieterinitiierte Messung durchgeführt wird,</w:t>
      </w:r>
    </w:p>
    <w:p>
      <w:pPr>
        <w:ind w:left="420"/>
      </w:pPr>
      <w:r>
        <w:t xml:space="preserve">2. ein Angebot des Anbieters zur Messung besteht, die durch den Verbraucher oder Endnutzer durchgeführt werden kann, oder</w:t>
      </w:r>
    </w:p>
    <w:p>
      <w:pPr>
        <w:ind w:left="420"/>
      </w:pPr>
      <w:r>
        <w:t xml:space="preserve">3. ein Angebot der Bundesnetzagentur zur Messung besteht.</w:t>
      </w:r>
    </w:p>
    <w:p>
      <w:r>
        <w:t xml:space="preserve">(2) Die Messung der Datenübertragungsrate, die über den Zugang des Verbrauchers erreicht wird, umfasst mindestens</w:t>
      </w:r>
    </w:p>
    <w:p>
      <w:pPr>
        <w:ind w:left="420"/>
      </w:pPr>
      <w:r>
        <w:t xml:space="preserve">1. die aktuelle Download-Rate,</w:t>
      </w:r>
    </w:p>
    <w:p>
      <w:pPr>
        <w:ind w:left="420"/>
      </w:pPr>
      <w:r>
        <w:t xml:space="preserve">2. die aktuelle Upload-Rate und</w:t>
      </w:r>
    </w:p>
    <w:p>
      <w:pPr>
        <w:ind w:left="420"/>
      </w:pPr>
      <w:r>
        <w:t xml:space="preserve">3. die Paketlaufzeit.</w:t>
      </w:r>
    </w:p>
    <w:p>
      <w:r>
        <w:rPr>
          <w:color w:val="555555"/>
          <w:sz w:val="17"/>
        </w:rPr>
        <w:t xml:space="preserve">Zitiervorschlag: § 6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