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TKTransparenzV — Informationen zur Vertragslaufzeit, Kündigung und zum Anbieterwechsel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Anbieter öffentlich zugänglicher Telekommunikationsdienste, bei denen es sich weder um nummernunabhängige interpersonelle Telekommunikationsdienste noch um für die Bereitstellung von Diensten der Maschine-Maschine-Kommunikation genutzte Übertragungsdienste handelt, müssen gegenüber Verbrauchern in der Rechnung sowie in der Information über den besten Tarif nach § 57 Absatz 3 des Telekommunikationsgesetzes Folgendes angeben:</w:t>
      </w:r>
    </w:p>
    <w:p>
      <w:pPr>
        <w:ind w:left="420"/>
      </w:pPr>
      <w:r>
        <w:t xml:space="preserve">1. das Datum des Vertragsbeginns,</w:t>
      </w:r>
    </w:p>
    <w:p>
      <w:pPr>
        <w:ind w:left="420"/>
      </w:pPr>
      <w:r>
        <w:t xml:space="preserve">2. den aktuellen Zeitpunkt des Endes der Mindestvertragslaufzeit,</w:t>
      </w:r>
    </w:p>
    <w:p>
      <w:pPr>
        <w:ind w:left="420"/>
      </w:pPr>
      <w:r>
        <w:t xml:space="preserve">3. die Kündigungsfrist und den letzten Kalendertag, an dem die Kündigung eingehen muss, um eine Vertragsverlängerung zu verhindern, und</w:t>
      </w:r>
    </w:p>
    <w:p>
      <w:pPr>
        <w:ind w:left="420"/>
      </w:pPr>
      <w:r>
        <w:t xml:space="preserve">4. einen Hinweis auf die Information zum generellen Ablauf des Anbieterwechsels auf der Internetseite der Bundesnetzagentur.</w:t>
      </w:r>
    </w:p>
    <w:p>
      <w:r>
        <w:t xml:space="preserve">Satz 1 gilt nicht für Vertragsverhältnisse mit einer Laufzeit von einem Monat oder weniger.</w:t>
      </w:r>
    </w:p>
    <w:p>
      <w:r>
        <w:rPr>
          <w:color w:val="555555"/>
          <w:sz w:val="17"/>
        </w:rPr>
        <w:t xml:space="preserve">Zitiervorschlag: § 4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