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TKTransparenzV — Art und Zeitpunkt der Zurverfügungstellung</w:t>
      </w:r>
    </w:p>
    <w:p>
      <w:r>
        <w:rPr>
          <w:color w:val="555555"/>
          <w:sz w:val="18"/>
        </w:rPr>
        <w:t xml:space="preserve">TK-Transparenzverordnung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Produktinformationsblätter für Angebote, die gegenüber Verbrauchern vermarktet werden, sind ab dem Beginn der Vermarktung in leicht zugänglicher Form bereitzustellen.</w:t>
      </w:r>
    </w:p>
    <w:p>
      <w:r>
        <w:t xml:space="preserve">(2) Der Verbraucher muss vor Vertragsschluss auf die bereitgestellten Informationen hingewiesen werden. Diese Pflicht gilt auch vor einer Vertragsverlängerung, die mit einer Veränderung der im Produktinformationsblatt genannten Konditionen verbunden ist.</w:t>
      </w:r>
    </w:p>
    <w:p>
      <w:r>
        <w:t xml:space="preserve">(3) Die Produktinformationsblätter von Angeboten, die nicht mehr vermarktet werden, sind auf der Internetseite des Anbieters in einem Archiv zur Verfügung zu stellen.</w:t>
      </w:r>
    </w:p>
    <w:p>
      <w:r>
        <w:rPr>
          <w:color w:val="555555"/>
          <w:sz w:val="17"/>
        </w:rPr>
        <w:t xml:space="preserve">Zitiervorschlag: § 2 TKTransparenzV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https://recht.nulegal.eu/gesetze/TKTransparenzV/2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