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TKTransparenzV — Inkrafttreten</w:t>
      </w:r>
    </w:p>
    <w:p>
      <w:r>
        <w:rPr>
          <w:color w:val="555555"/>
          <w:sz w:val="18"/>
        </w:rPr>
        <w:t xml:space="preserve">TK-Transparenzverordnung</w:t>
      </w:r>
    </w:p>
    <w:p>
      <w:r>
        <w:rPr>
          <w:color w:val="555555"/>
          <w:sz w:val="18"/>
        </w:rPr>
        <w:t xml:space="preserve">Stand: 01.12.2021 (konsolidierte Textfassung, kein amtliches Inkrafttretensdatum)</w:t>
      </w:r>
    </w:p>
    <w:p>
      <w:r>
        <w:t xml:space="preserve">Diese Verordnung tritt am 1. Juni 2017 in Kraft.</w:t>
      </w:r>
    </w:p>
    <w:p>
      <w:r>
        <w:rPr>
          <w:color w:val="555555"/>
          <w:sz w:val="17"/>
        </w:rPr>
        <w:t xml:space="preserve">Zitiervorschlag: § 13 TKTransparenzV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https://recht.nulegal.eu/gesetze/TKTransparenzV/13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