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TKTransparenzV — Kostenkontrolle bei Sprachkommunikationsdiensten, Internetzugangsdiensten und öffentlich zugänglichen nummerngebundenen interpersonellen Telekommunikationsdiensten</w:t>
      </w:r>
    </w:p>
    <w:p>
      <w:r>
        <w:rPr>
          <w:color w:val="555555"/>
          <w:sz w:val="18"/>
        </w:rPr>
        <w:t xml:space="preserve">TK-Transparenzverordnung</w:t>
      </w:r>
    </w:p>
    <w:p>
      <w:r>
        <w:rPr>
          <w:color w:val="555555"/>
          <w:sz w:val="18"/>
        </w:rPr>
        <w:t xml:space="preserve">Stand: 01.12.2021 (konsolidierte Textfassung, kein amtliches Inkrafttretensdatum)</w:t>
      </w:r>
    </w:p>
    <w:p>
      <w:r>
        <w:t xml:space="preserve">(1) Anbieter öffentlich zugänglicher Telekommunikationsdienste, bei denen es sich weder um nummernunabhängige interpersonelle Telekommunikationsdienste noch um für die Bereitstellung von Diensten der Maschine-Maschine-Kommunikation genutzte Übertragungsdienste handelt, müssen Verbrauchern eine geeignete Einrichtung anbieten, um die Kosten von Sprachkommunikationsdiensten, Internetzugangsdiensten und nummerngebundenen interpersonellen Telekommunikationsdiensten zu kontrollieren. Diese Einrichtung umfasst auch unentgeltliche Warnhinweise bei anormalem oder übermäßigem Verbrauchsverhalten.</w:t>
      </w:r>
    </w:p>
    <w:p>
      <w:r>
        <w:t xml:space="preserve">(2) Die Pflicht nach Absatz 1 entfällt, wenn Anbieter gegenüber der Bundesnetzagentur anzeigen, dass dem Verbraucher bei erstmalig auftretenden anormalen oder übermäßig hohen Kosten aufgrund einer regelmäßigen unternehmensindividuellen Praxis ausschließlich verhältnismäßige Kosten in Rechnung gestellt werden.</w:t>
      </w:r>
    </w:p>
    <w:p>
      <w:r>
        <w:rPr>
          <w:color w:val="555555"/>
          <w:sz w:val="17"/>
        </w:rPr>
        <w:t xml:space="preserve">Zitiervorschlag: § 10 TKTransparenzV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https://recht.nulegal.eu/gesetze/TKTransparenzV/10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