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TKTransparenzV — Produktinformationsblatt</w:t>
      </w:r>
    </w:p>
    <w:p>
      <w:r>
        <w:rPr>
          <w:color w:val="555555"/>
          <w:sz w:val="18"/>
        </w:rPr>
        <w:t xml:space="preserve">TK-Transparenzverordnung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(1) Anbieter anderer öffentlich zugänglicher Telekommunikationsdienste als für die Bereitstellung von Diensten der Maschine-Maschine-Kommunikation genutzte Übertragungsdienste müssen für alle Angebote, die gegenüber Verbrauchern vermarktet werden, ein Produktinformationsblatt gemäß Absatz 2 und § 2 Absatz 1 bereitstellen.</w:t>
      </w:r>
    </w:p>
    <w:p>
      <w:r>
        <w:t xml:space="preserve">(2) Das Produktinformationsblatt enthält ausschließlich folgende Angaben:</w:t>
      </w:r>
    </w:p>
    <w:p>
      <w:pPr>
        <w:ind w:left="420"/>
      </w:pPr>
      <w:r>
        <w:t xml:space="preserve">1. Name des Produkts und der darin enthaltenen Zugangsdienste,</w:t>
      </w:r>
    </w:p>
    <w:p>
      <w:pPr>
        <w:ind w:left="420"/>
      </w:pPr>
      <w:r>
        <w:t xml:space="preserve">2. das Datum der Markteinführung des Produkts,</w:t>
      </w:r>
    </w:p>
    <w:p>
      <w:pPr>
        <w:ind w:left="420"/>
      </w:pPr>
      <w:r>
        <w:t xml:space="preserve">3. die Vertragslaufzeit,</w:t>
      </w:r>
    </w:p>
    <w:p>
      <w:pPr>
        <w:ind w:left="420"/>
      </w:pPr>
      <w:r>
        <w:t xml:space="preserve">4. die Voraussetzungen für die Verlängerung und Beendigung des Vertrages,</w:t>
      </w:r>
    </w:p>
    <w:p>
      <w:pPr>
        <w:ind w:left="420"/>
      </w:pPr>
      <w:r>
        <w:t xml:space="preserve">5. die minimale, die normalerweise zur Verfügung stehende und die maximale Datenübertragungsrate für Download und Upload; für den Zugang zu Mobilfunknetzen ausschließlich die geschätzte maximale Datenübertragungsrate für Download und Upload,</w:t>
      </w:r>
    </w:p>
    <w:p>
      <w:pPr>
        <w:ind w:left="420"/>
      </w:pPr>
      <w:r>
        <w:t xml:space="preserve">6. im Fall einer Datenvolumenbeschränkung:</w:t>
      </w:r>
    </w:p>
    <w:p>
      <w:pPr>
        <w:ind w:left="780"/>
      </w:pPr>
      <w:r>
        <w:t xml:space="preserve">a) den Schwellenwert, ab dem die Datenübertragungsrate reduziert oder weiteres Datenvolumen gebucht wird,</w:t>
      </w:r>
    </w:p>
    <w:p>
      <w:pPr>
        <w:ind w:left="780"/>
      </w:pPr>
      <w:r>
        <w:t xml:space="preserve">b) die Datenübertragungsrate, die ab Erreichen einer Datenvolumenbeschränkung angeboten wird,</w:t>
      </w:r>
    </w:p>
    <w:p>
      <w:pPr>
        <w:ind w:left="780"/>
      </w:pPr>
      <w:r>
        <w:t xml:space="preserve">c) welche Dienste oder Anwendungen in das vertraglich vereinbarte Datenvolumen eingerechnet werden und welche nicht,</w:t>
      </w:r>
    </w:p>
    <w:p>
      <w:pPr>
        <w:ind w:left="420"/>
      </w:pPr>
      <w:r>
        <w:t xml:space="preserve">7. die für die Nutzung der Zugangsdienste geltenden Preise,</w:t>
      </w:r>
    </w:p>
    <w:p>
      <w:pPr>
        <w:ind w:left="420"/>
      </w:pPr>
      <w:r>
        <w:t xml:space="preserve">8. der Name und die ladungsfähige Anschrift des Anbieters.</w:t>
      </w:r>
    </w:p>
    <w:p>
      <w:r>
        <w:t xml:space="preserve">(3) Die Bundesnetzagentur gibt ein standardisiertes Musterinformationsblatt vor, um sicherzustellen, dass die Angaben im Produktinformationsblatt einheitlich dargestellt werden. Das Musterinformationsblatt ist im Amtsblatt bekannt zu geben.</w:t>
      </w:r>
    </w:p>
    <w:p>
      <w:r>
        <w:rPr>
          <w:color w:val="555555"/>
          <w:sz w:val="17"/>
        </w:rPr>
        <w:t xml:space="preserve">Zitiervorschlag: § 1 TKTransparenzV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https://recht.nulegal.eu/gesetze/TKTransparenzV/1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