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TKModG — Inkrafttreten, Außerkrafttreten</w:t>
      </w:r>
    </w:p>
    <w:p>
      <w:r>
        <w:rPr>
          <w:color w:val="555555"/>
          <w:sz w:val="18"/>
        </w:rPr>
        <w:t xml:space="preserve">Telekommunikationsmodernisierungsgesetz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Dieses Gesetz tritt vorbehaltlich der Absätze 2 und 3 am 1. Dezember 2021 in Kraft. Gleichzeitig tritt das Telekommunikationsgesetz vom 22. Juni 2004 (BGBl. I S. 1190), das zuletzt durch Artikel 2 des Gesetzes vom 18. Mai 2021 (BGBl. I S. 1122) geändert worden ist, außer Kraft.</w:t>
      </w:r>
    </w:p>
    <w:p>
      <w:r>
        <w:t xml:space="preserve">(2) Artikel 58 tritt am Tag nach der Verkündung in Kraft.</w:t>
      </w:r>
    </w:p>
    <w:p>
      <w:r>
        <w:t xml:space="preserve">(3) Artikel 4 Nummer 4 und Artikel 59 treten am 1. Januar 2022 in Kraft.</w:t>
      </w:r>
    </w:p>
    <w:p>
      <w:r>
        <w:rPr>
          <w:color w:val="555555"/>
          <w:sz w:val="17"/>
        </w:rPr>
        <w:t xml:space="preserve">Zitiervorschlag: Art 61 TKModG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https://recht.nulegal.eu/gesetze/TKModG/61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