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TKMV — Anforderungen an den Internetzugangsdienst</w:t>
      </w:r>
    </w:p>
    <w:p>
      <w:r>
        <w:rPr>
          <w:color w:val="555555"/>
          <w:sz w:val="18"/>
        </w:rPr>
        <w:t xml:space="preserve">TK-Mindestversorgungsverordnung</w:t>
      </w:r>
    </w:p>
    <w:p>
      <w:r>
        <w:rPr>
          <w:color w:val="555555"/>
          <w:sz w:val="18"/>
        </w:rPr>
        <w:t xml:space="preserve">Stand: 31.12.2024 (konsolidierte Textfassung, kein amtliches Inkrafttretensdatum)</w:t>
      </w:r>
    </w:p>
    <w:p>
      <w:r>
        <w:t xml:space="preserve">Ein Internetzugangsdienst für eine angemessene soziale und wirtschaftliche Teilhabe im Sinne von § 157 Absatz 2 und 3 des Telekommunikationsgesetzes einschließlich des hierfür erforderlichen Anschlusses an ein öffentliches Telekommunikationsnetz liegt vor, wenn der Dienst regelmäßig folgende Anforderungen erfüllt:</w:t>
      </w:r>
    </w:p>
    <w:p>
      <w:pPr>
        <w:ind w:left="420"/>
      </w:pPr>
      <w:r>
        <w:t xml:space="preserve">1. Bandbreite</w:t>
      </w:r>
    </w:p>
    <w:p>
      <w:pPr>
        <w:ind w:left="780"/>
      </w:pPr>
      <w:r>
        <w:t xml:space="preserve">a) im Download: mindestens 15,0 Megabit pro Sekunde;</w:t>
      </w:r>
    </w:p>
    <w:p>
      <w:pPr>
        <w:ind w:left="780"/>
      </w:pPr>
      <w:r>
        <w:t xml:space="preserve">b) im Upload: mindestens 5,0 Megabit pro Sekunde;</w:t>
      </w:r>
    </w:p>
    <w:p>
      <w:pPr>
        <w:ind w:left="420"/>
      </w:pPr>
      <w:r>
        <w:t xml:space="preserve">2. Latenz: höchstens 150,0 Millisekunden.</w:t>
      </w:r>
    </w:p>
    <w:p>
      <w:r>
        <w:rPr>
          <w:color w:val="555555"/>
          <w:sz w:val="17"/>
        </w:rPr>
        <w:t xml:space="preserve">Zitiervorschlag: § 2 TKMV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