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TKMV — Latenz</w:t>
      </w:r>
    </w:p>
    <w:p>
      <w:r>
        <w:rPr>
          <w:color w:val="555555"/>
          <w:sz w:val="18"/>
        </w:rPr>
        <w:t xml:space="preserve">TK-Mindestversorgungsverordnung</w:t>
      </w:r>
    </w:p>
    <w:p>
      <w:r>
        <w:rPr>
          <w:color w:val="555555"/>
          <w:sz w:val="18"/>
        </w:rPr>
        <w:t xml:space="preserve">Stand: 18.06.2022 (konsolidierte Textfassung, kein amtliches Inkrafttretensdatum)</w:t>
      </w:r>
    </w:p>
    <w:p>
      <w:r>
        <w:t xml:space="preserve">Bei einem Internetzugangsdienst und einem Sprachkommunikationsdienst ist Latenz das arithmetische Mittel aus</w:t>
      </w:r>
    </w:p>
    <w:p>
      <w:pPr>
        <w:ind w:left="420"/>
      </w:pPr>
      <w:r>
        <w:t xml:space="preserve">1. der Zeit, die das Signal für die Hinstrecke zwischen dem Netzabschlusspunkt und dem Referenzmesspunkt aus der Breitbandmessung-Desktop-App der Bundesnetzagentur benötigt, und</w:t>
      </w:r>
    </w:p>
    <w:p>
      <w:pPr>
        <w:ind w:left="420"/>
      </w:pPr>
      <w:r>
        <w:t xml:space="preserve">2. der Zeit, die das Signal für die Rückstrecke zwischen dem Netzabschlusspunkt und dem Referenzmesspunkt aus der Breitbandmessung-Desktop-App der Bundesnetzagentur benötigt.</w:t>
      </w:r>
    </w:p>
    <w:p>
      <w:r>
        <w:rPr>
          <w:color w:val="555555"/>
          <w:sz w:val="17"/>
        </w:rPr>
        <w:t xml:space="preserve">Zitiervorschlag: § 1 TKMV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