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TKGebV</w:t>
      </w:r>
    </w:p>
    <w:p>
      <w:r>
        <w:rPr>
          <w:color w:val="555555"/>
          <w:sz w:val="18"/>
        </w:rPr>
        <w:t xml:space="preserve">Telekommunikationsgebührenverordnung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142 Abs. 2 Satz 1, 2, 6 und 7 des Telekommunikationsgesetzes vom 22. Juni 2004 (BGBl. I S. 1190) in Verbindung mit dem 2. Abschnitt des Verwaltungskostengesetzes vom 23. Juni 1970 (BGBl. I S. 821) und mit § 1 der TKG-Übertragungsverordnung vom 22. November 2004 (BGBl. I S. 2899), von denen § 142 Abs. 2 des Telekommunikationsgesetzes zuletzt durch Artikel 273 Nr. 1 und § 1 der TKG-Übertragungsverordnung zuletzt durch Artikel 465 der Verordnung vom 31. Oktober 2006 (BGBl. I S. 2407) geändert worden sind, verordnet die Bundesnetzagentur für Elektrizität, Gas, Telekommunikation, Post und Eisenbahnen im Einvernehmen mit dem Bundesministerium der Finanzen und dem Bundesministerium für Wirtschaft und Technologie:</w:t>
      </w:r>
    </w:p>
    <w:p>
      <w:r>
        <w:rPr>
          <w:color w:val="555555"/>
          <w:sz w:val="17"/>
        </w:rPr>
        <w:t xml:space="preserve">Zitiervorschlag: Eingangsformel TKGebV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