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TKGebV — Gebührentatbestände für die einzelfallbezogene Koordinierung, Anmeldung, Übertragung und Notifizierung von Satellitensystemen nach § 56 in Verbindung mit § 142 Abs. 1 Nr. 4, 5 und 6 des Telekommunikationsgesetzes</w:t>
      </w:r>
    </w:p>
    <w:p>
      <w:r>
        <w:rPr>
          <w:color w:val="555555"/>
          <w:sz w:val="18"/>
        </w:rPr>
        <w:t xml:space="preserve">Telekommunikationsgebührenverordnung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(Fundstelle: BGBl. I 2007, 1479)</w:t>
      </w:r>
    </w:p>
    <w:p>
      <w:r>
        <w:rPr>
          <w:rFonts w:ascii="Courier New" w:hAnsi="Courier New"/>
          <w:sz w:val="17"/>
        </w:rPr>
        <w:t xml:space="preserve">Lfd. Nr.    Gebührentatbestand    Gebühr in Euro</w:t>
      </w:r>
    </w:p>
    <w:p>
      <w:r>
        <w:rPr>
          <w:rFonts w:ascii="Courier New" w:hAnsi="Courier New"/>
          <w:sz w:val="17"/>
        </w:rPr>
        <w:t xml:space="preserve">A    Allgemeine Gebühren</w:t>
      </w:r>
    </w:p>
    <w:p>
      <w:r>
        <w:rPr>
          <w:rFonts w:ascii="Courier New" w:hAnsi="Courier New"/>
          <w:sz w:val="17"/>
        </w:rPr>
        <w:t xml:space="preserve">A.1    Erstellen einer Zweitschrift einer Urkunde    60</w:t>
      </w:r>
    </w:p>
    <w:p>
      <w:r>
        <w:rPr>
          <w:rFonts w:ascii="Courier New" w:hAnsi="Courier New"/>
          <w:sz w:val="17"/>
        </w:rPr>
        <w:t xml:space="preserve">A.2    Änderung einer bestehenden Urkunde    60</w:t>
      </w:r>
    </w:p>
    <w:p>
      <w:r>
        <w:rPr>
          <w:rFonts w:ascii="Courier New" w:hAnsi="Courier New"/>
          <w:sz w:val="17"/>
        </w:rPr>
        <w:t xml:space="preserve">A.3    Zurücknahme eines Antrags nach dem Beginn der sachlichen Bearbeitung und vor Beendigung der individuell zurechenbaren öffentlichen Leistung; Ablehnung eines Antrags aus anderen Gründen als wegen Unzuständigkeit; Widerruf oder Rücknahme eines Verwaltungsaktes, soweit der Betroffene dazu Anlass gegeben hat    bis zu 75 % der Gebühr für den beantragten Verwaltungsakt</w:t>
      </w:r>
    </w:p>
    <w:p>
      <w:r>
        <w:rPr>
          <w:rFonts w:ascii="Courier New" w:hAnsi="Courier New"/>
          <w:sz w:val="17"/>
        </w:rPr>
        <w:t xml:space="preserve">B    Gebühren für die internationale Anmeldung, Koordinierung und Notifizierung von Satellitensystemen bei der ITU und der Übertragung der Orbit- und Frequenznutzungsrechte</w:t>
      </w:r>
    </w:p>
    <w:p>
      <w:r>
        <w:rPr>
          <w:rFonts w:ascii="Courier New" w:hAnsi="Courier New"/>
          <w:sz w:val="17"/>
        </w:rPr>
        <w:t xml:space="preserve">B.1    Anmeldung eines nichtkommerziellen Einzelsatelliten (umlaufend) auf "Non-Interference-Basis" (wissenschaftlicher Experimentalsatellit, Amateurfunksatellit; kein fester Funkdienst über Satelliten, Mobilfunkdienst über Satelliten oder Rundfunkdienst über Satelliten) einschließlich Übertragung der Nutzungsrechte    4 760</w:t>
      </w:r>
    </w:p>
    <w:p>
      <w:r>
        <w:rPr>
          <w:rFonts w:ascii="Courier New" w:hAnsi="Courier New"/>
          <w:sz w:val="17"/>
        </w:rPr>
        <w:t xml:space="preserve">B.2    Anmeldung eines umlaufenden Satellitensystems, das keiner Koordinierung gemäß Artikel 9 Abschnitt II VO Funk bedarf    27 970</w:t>
      </w:r>
    </w:p>
    <w:p>
      <w:r>
        <w:rPr>
          <w:rFonts w:ascii="Courier New" w:hAnsi="Courier New"/>
          <w:sz w:val="17"/>
        </w:rPr>
        <w:t xml:space="preserve">B.3    Anmeldung eines umlaufenden Satellitensystems, das einer Koordinierung gemäß Artikel 9 Abschnitt II VO Funk bedarf    57 480</w:t>
      </w:r>
    </w:p>
    <w:p>
      <w:r>
        <w:rPr>
          <w:rFonts w:ascii="Courier New" w:hAnsi="Courier New"/>
          <w:sz w:val="17"/>
        </w:rPr>
        <w:t xml:space="preserve">B.4    Anmeldung eines geostationären Satellitensystems (mit Ausnahme der unter B.5 und B.6 genannten Fälle)    53 820</w:t>
      </w:r>
    </w:p>
    <w:p>
      <w:r>
        <w:rPr>
          <w:rFonts w:ascii="Courier New" w:hAnsi="Courier New"/>
          <w:sz w:val="17"/>
        </w:rPr>
        <w:t xml:space="preserve">B.5    Anmeldung eines Satellitensystems nach Anhang 30 und Anhang 30 A VO Funk (BSS)    68 810</w:t>
      </w:r>
    </w:p>
    <w:p>
      <w:r>
        <w:rPr>
          <w:rFonts w:ascii="Courier New" w:hAnsi="Courier New"/>
          <w:sz w:val="17"/>
        </w:rPr>
        <w:t xml:space="preserve">B.6    Anmeldung eines Satellitensystems nach Anhang 30 B VO Funk (FSS-Planbereich)    65 510</w:t>
      </w:r>
    </w:p>
    <w:p>
      <w:r>
        <w:rPr>
          <w:rFonts w:ascii="Courier New" w:hAnsi="Courier New"/>
          <w:sz w:val="17"/>
        </w:rPr>
        <w:t xml:space="preserve">B.7    Übertragung der Orbit- und Frequenznutzungsrechte für Systeme nach B.2    11 900</w:t>
      </w:r>
    </w:p>
    <w:p>
      <w:r>
        <w:rPr>
          <w:rFonts w:ascii="Courier New" w:hAnsi="Courier New"/>
          <w:sz w:val="17"/>
        </w:rPr>
        <w:t xml:space="preserve">B.8    Übertragung der Orbit- und Frequenznutzungsrechte für Systeme nach B.3 - B.6    17 210</w:t>
      </w:r>
    </w:p>
    <w:p>
      <w:r>
        <w:rPr>
          <w:rFonts w:ascii="Courier New" w:hAnsi="Courier New"/>
          <w:sz w:val="17"/>
        </w:rPr>
        <w:t xml:space="preserve">C    Gebühren für Maßnahmen auf Grund von Verstößen</w:t>
      </w:r>
    </w:p>
    <w:p>
      <w:r>
        <w:rPr>
          <w:rFonts w:ascii="Courier New" w:hAnsi="Courier New"/>
          <w:sz w:val="17"/>
        </w:rPr>
        <w:t xml:space="preserve">C.1    Bearbeiten eines Verstoßes gegen das TKG, Orbit-/Frequenzzuteilungsbedingungen und Auflagen einschließlich Festlegung der Maßnahmen    50 - 5 000</w:t>
      </w:r>
    </w:p>
    <w:p>
      <w:r>
        <w:rPr>
          <w:rFonts w:ascii="Courier New" w:hAnsi="Courier New"/>
          <w:sz w:val="17"/>
        </w:rPr>
        <w:t xml:space="preserve">C.2    Ausführen eines mobilen/stationären Messeinsatzes zum Ermitteln von Verstößen gegen das TKG, Orbit-/Frequenzzuteilungsbedingungen und Auflagen    100 - 50 000</w:t>
      </w:r>
    </w:p>
    <w:p>
      <w:r>
        <w:t xml:space="preserve">Neben den ausgewiesenen Gebührensätzen werden Auslagen entsprechend dem Verwaltungskostengesetz in der bis zum 14. August 2013 geltenden Fassung gesondert erhoben. Dies betrifft insbesondere die ITU-Gebühren (ITU-Cost recovery), die für das jeweils beantragte Satellitenfunknetz von der ITU zur Deckung des dortigen Verwaltungsaufwandes erhoben werden.</w:t>
      </w:r>
    </w:p>
    <w:p>
      <w:r>
        <w:rPr>
          <w:color w:val="555555"/>
          <w:sz w:val="17"/>
        </w:rPr>
        <w:t xml:space="preserve">Zitiervorschlag: Anlage 2 TKGebV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https://recht.nulegal.eu/gesetze/TKGebV/anlage-2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