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TKGebV — Erhebung von Gebühren</w:t>
      </w:r>
    </w:p>
    <w:p>
      <w:r>
        <w:rPr>
          <w:color w:val="555555"/>
          <w:sz w:val="18"/>
        </w:rPr>
        <w:t xml:space="preserve">Telekommunikationsgebührenverordnung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 gebührenpflichtigen Tatbestände und die Höhe der Gebühren bestimmen sich nach den jeweiligen Anlagen dieser Verordnung. Daneben werden für die gebührenpflichtigen individuell zurechenbaren öffentlichen Leistungen Auslagen nach § 23 Absatz 6 des Bundesgebührengesetzes erhoben. Die Frequenzgebührenverordnung und die Telekommunikations-Nummerngebührenverordnung bleiben unberührt.</w:t>
      </w:r>
    </w:p>
    <w:p>
      <w:r>
        <w:rPr>
          <w:color w:val="555555"/>
          <w:sz w:val="17"/>
        </w:rPr>
        <w:t xml:space="preserve">Zitiervorschlag: § 1 TKGebV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