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TKG 2021 — Bestandteile der Frequenzzuteilung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Im Rahmen der Frequenzzuteilung sind insbesondere festzulegen:</w:t>
      </w:r>
    </w:p>
    <w:p>
      <w:pPr>
        <w:ind w:left="420"/>
      </w:pPr>
      <w:r>
        <w:t xml:space="preserve">1. die Art und der Umfang der Frequenznutzung, soweit dies zur Sicherung einer effizienten und störungsfreien Nutzung der Frequenzen erforderlich ist und</w:t>
      </w:r>
    </w:p>
    <w:p>
      <w:pPr>
        <w:ind w:left="420"/>
      </w:pPr>
      <w:r>
        <w:t xml:space="preserve">2. die allgemeinen Kriterien für die Verlängerung der Frequenzzuteilung gemäß § 92 Absatz 3 Satz 6.</w:t>
      </w:r>
    </w:p>
    <w:p>
      <w:r>
        <w:t xml:space="preserve">Bei der Festlegung von Art und Umfang der Frequenznutzung sind internationale Vereinbarungen zur Frequenzkoordinierung zu beachten.</w:t>
      </w:r>
    </w:p>
    <w:p>
      <w:r>
        <w:t xml:space="preserve">(2) Verknüpft die Bundesnetzagentur Frequenzzuteilungen gemäß Absatz 3 Satz 1 Nummer 1 mit Nebenbestimmungen, so kann sie, insbesondere um eine effektive und effiziente Frequenznutzung sicherzustellen oder die Versorgung zu verbessern, unter anderem folgende Möglichkeiten vorsehen:</w:t>
      </w:r>
    </w:p>
    <w:p>
      <w:pPr>
        <w:ind w:left="420"/>
      </w:pPr>
      <w:r>
        <w:t xml:space="preserve">1. zur gemeinsamen Nutzung von passiven oder aktiven Infrastrukturen für die Funkfrequenznutzung oder von Funkfrequenzen,</w:t>
      </w:r>
    </w:p>
    <w:p>
      <w:pPr>
        <w:ind w:left="420"/>
      </w:pPr>
      <w:r>
        <w:t xml:space="preserve">2. zu kommerziellen Roamingzugangsvereinbarungen und</w:t>
      </w:r>
    </w:p>
    <w:p>
      <w:pPr>
        <w:ind w:left="420"/>
      </w:pPr>
      <w:r>
        <w:t xml:space="preserve">3. zum gemeinsamen Ausbau von Infrastrukturen für die Bereitstellung von auf Funkfrequenzen gestützten Telekommunikationsnetzen oder -diensten.</w:t>
      </w:r>
    </w:p>
    <w:p>
      <w:r>
        <w:t xml:space="preserve">Die Bundesnetzagentur sorgt dafür, dass die mit Frequenznutzungsrechten verknüpften Bedingungen die gemeinsame Funkfrequenznutzung nicht behindern. Die Umsetzung der gemäß diesem Absatz auferlegten Bedingungen durch die Unternehmen bleibt weiterhin dem Gesetz gegen Wettbewerbsbeschränkungen unterworfen.</w:t>
      </w:r>
    </w:p>
    <w:p>
      <w:r>
        <w:t xml:space="preserve">(3) Zur Sicherung einer effizienten und störungsfreien Nutzung der Frequenzen, der weiteren in § 2 genannten Regulierungsziele sowie der in § 87 genannten Ziele der Frequenzregulierung</w:t>
      </w:r>
    </w:p>
    <w:p>
      <w:pPr>
        <w:ind w:left="420"/>
      </w:pPr>
      <w:r>
        <w:t xml:space="preserve">1. kann die Frequenzzuteilung mit Nebenbestimmungen versehen werden und</w:t>
      </w:r>
    </w:p>
    <w:p>
      <w:pPr>
        <w:ind w:left="420"/>
      </w:pPr>
      <w:r>
        <w:t xml:space="preserve">2. können die Frequenz, Nebenstimmungen zur Frequenzzuteilung sowie Art und Umfang der Frequenznutzung unter Wahrung des Grundsatzes der Verhältnismäßigkeit nachträglich geändert werden.</w:t>
      </w:r>
    </w:p>
    <w:p>
      <w:r>
        <w:t xml:space="preserve">Den interessierten Kreisen, einschließlich Nutzern und Verbrauchern, wird eine ausreichende Frist eingeräumt, um ihren Standpunkt zu den geplanten Änderungen nach Satz 1 Nummer 2 darzulegen. Die Frist nach Satz 2 beträgt grundsätzlich mindestens vier Wochen, es sei denn, die geplanten Änderungen sind geringfügig. Änderungen werden unter Angabe der Gründe veröffentlicht. Sind durch die Änderungen Belange der Länder bei der Übertragung von Rundfunk im Zuständigkeitsbereich der Länder betroffen, ist auf der Grundlage der rundfunkrechtlichen Festlegungen das Benehmen mit der zuständigen Landesbehörde herzustellen.</w:t>
      </w:r>
    </w:p>
    <w:p>
      <w:r>
        <w:t xml:space="preserve">(4) Die Frequenzzuteilung kann Hinweise darauf enthalten, welche Parameter die Bundesnetzagentur den Festlegungen zu Art und Umfang der Frequenznutzung bezüglich der Empfangsanlagen zugrunde gelegt hat. Bei Nichteinhaltung der mitgeteilten Parameter wird die Bundesnetzagentur keinerlei Maßnahmen ergreifen, um Nachteilen zu begegnen.</w:t>
      </w:r>
    </w:p>
    <w:p>
      <w:r>
        <w:t xml:space="preserve">(5) Frequenzen, die der Übertragung von Rundfunk im Zuständigkeitsbereich der Länder dienen, werden im Benehmen mit der zuständigen Landesbehörde mit Auflagen zugeteilt, die sicherstellen, dass die rundfunkrechtlichen Belange der Länder berücksichtigt werden.</w:t>
      </w:r>
    </w:p>
    <w:p>
      <w:r>
        <w:t xml:space="preserve">(6) Zugeteilte Frequenzen dürfen nur mit Funkanlagen genutzt werden, die dem Funkanlagengesetz entsprechen.</w:t>
      </w:r>
    </w:p>
    <w:p>
      <w:r>
        <w:rPr>
          <w:color w:val="555555"/>
          <w:sz w:val="17"/>
        </w:rPr>
        <w:t xml:space="preserve">Zitiervorschlag: § 99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