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TKG 2021 — Zuteilung zur gemeinsamen Frequenznutzung, Erprobung innovativer Technologien, kurzfristig auftretender Frequenzbedarf</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Frequenzen, bei denen eine effiziente Nutzung durch einen Einzelnen allein nicht zu erwarten ist, können auch mehreren zur gemeinsamen Nutzung zugeteilt werden. Die Inhaber dieser Frequenznutzungsrechte haben Beeinträchtigungen hinzunehmen, die sich aus einer bestimmungsgemäßen gemeinsamen Nutzung der Frequenz ergeben.</w:t>
      </w:r>
    </w:p>
    <w:p>
      <w:r>
        <w:t xml:space="preserve">(2) In begründeten Einzelfällen, insbesondere zur Erprobung innovativer Technologien in der Telekommunikation oder bei kurzfristig auftretendem Frequenzbedarf, kann von den im Frequenzplan enthaltenen Festlegungen bei der Zuteilung von Frequenzen befristet abgewichen werden. Voraussetzung hierfür ist, dass keine Frequenznutzung beeinträchtigt wird. Sind Belange der Länder bei der Übertragung von Rundfunk im Zuständigkeitsbereich der Länder betroffen, ist auf der Grundlage der rundfunkrechtlichen Festlegungen das Benehmen mit der zuständigen Landesbehörde herzustellen.</w:t>
      </w:r>
    </w:p>
    <w:p>
      <w:r>
        <w:rPr>
          <w:color w:val="555555"/>
          <w:sz w:val="17"/>
        </w:rPr>
        <w:t xml:space="preserve">Zitiervorschlag: § 97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