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TKG 2021 — Zeitliche Koordinierung der Frequenzzuteilungen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schafft die Voraussetzungen für die Zuteilung von harmonisierten Frequenzen unverzüglich, spätestens jedoch 30 Monate nach der Festlegung harmonisierter Bedingungen durch technische Umsetzungsmaßnahmen gemäß der Entscheidung Nr. 676/2002/EG, oder unverzüglich nach der Aufhebung einer Entscheidung, mit der die Bundesnetzagentur in Ausnahmefällen Frequenzen zur alternativen Nutzung gemäß § 98 zugeteilt hat.</w:t>
      </w:r>
    </w:p>
    <w:p>
      <w:r>
        <w:t xml:space="preserve">(2) Die Bundesnetzagentur kann die Frist gemäß Absatz 1 für einen bestimmten Frequenzbereich überschreiten,</w:t>
      </w:r>
    </w:p>
    <w:p>
      <w:pPr>
        <w:ind w:left="420"/>
      </w:pPr>
      <w:r>
        <w:t xml:space="preserve">1. wenn dies durch die Beschränkung der Nutzung des betreffenden Frequenzbereichs aufgrund der Ziele von allgemeinem Interesse gemäß Artikel 45 Absatz 5 Buchstabe a und d der Richtlinie (EU) 2018/1972 gerechtfertigt ist,</w:t>
      </w:r>
    </w:p>
    <w:p>
      <w:pPr>
        <w:ind w:left="420"/>
      </w:pPr>
      <w:r>
        <w:t xml:space="preserve">2. wenn offene Fragen der grenzüberschreitenden Koordinierung mit Staaten außerhalb der Europäischen Union bestehen, die zu funktechnischen Störungen führen, sofern die Europäische Union gemäß Artikel 28 Absatz 5 der Richtlinie (EU) 2018/1972 um Unterstützung ersucht worden ist,</w:t>
      </w:r>
    </w:p>
    <w:p>
      <w:pPr>
        <w:ind w:left="420"/>
      </w:pPr>
      <w:r>
        <w:t xml:space="preserve">3. zur Wahrung nationaler Sicherheits- und Verteidigungsinteressen oder</w:t>
      </w:r>
    </w:p>
    <w:p>
      <w:pPr>
        <w:ind w:left="420"/>
      </w:pPr>
      <w:r>
        <w:t xml:space="preserve">4. im Falle höherer Gewalt.</w:t>
      </w:r>
    </w:p>
    <w:p>
      <w:r>
        <w:t xml:space="preserve">Die Bundesnetzagentur überprüft die Überschreitung gemäß Satz 1 spätestens alle zwei Jahre.</w:t>
      </w:r>
    </w:p>
    <w:p>
      <w:r>
        <w:t xml:space="preserve">(3) Die Bundesnetzagentur kann die Frist gemäß Absatz 1 für einen bestimmten Frequenzbereich, sofern erforderlich, um bis zu 30 Monate in den folgenden Fällen überschreiten:</w:t>
      </w:r>
    </w:p>
    <w:p>
      <w:pPr>
        <w:ind w:left="420"/>
      </w:pPr>
      <w:r>
        <w:t xml:space="preserve">1. bei offenen Fragen der grenzüberschreitenden Koordinierung zwischen Mitgliedstaaten der Europäischen Union, die zu funktechnischen Störungen führen, sofern rechtzeitig sämtliche erforderlichen Maßnahmen gemäß Artikel 28 Absatz 3 und 4 der Richtlinie (EU) 2018/1972 ergriffen werden oder</w:t>
      </w:r>
    </w:p>
    <w:p>
      <w:pPr>
        <w:ind w:left="420"/>
      </w:pPr>
      <w:r>
        <w:t xml:space="preserve">2. bei Auftreten technischer Schwierigkeiten bei der Umstellung eines aktuellen Nutzers auf einen anderen Frequenzbereich.</w:t>
      </w:r>
    </w:p>
    <w:p>
      <w:r>
        <w:t xml:space="preserve">(4) Im Falle einer Fristüberschreitung nach Absatz 2 oder Absatz 3 unterrichtet die Bundesnetzagentur die anderen Mitgliedstaaten der Europäischen Union und die Kommission rechtzeitig; die Gründe für die Fristüberschreitung hat sie anzugeben.</w:t>
      </w:r>
    </w:p>
    <w:p>
      <w:r>
        <w:rPr>
          <w:color w:val="555555"/>
          <w:sz w:val="17"/>
        </w:rPr>
        <w:t xml:space="preserve">Zitiervorschlag: § 94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