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TKG 2021 — Befristung und Verlängerung der Frequenzzuteilung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Frequenzen werden in der Regel befristet zugeteilt. Die Befristung muss für die betreffende Nutzung angemessen sein und die Amortisation der dafür notwendigen Investitionen angemessen berücksichtigen.</w:t>
      </w:r>
    </w:p>
    <w:p>
      <w:r>
        <w:t xml:space="preserve">(2) Eine befristete Zuteilung ist zu verlängern, wenn die Voraussetzungen für eine Frequenzzuteilung nach § 91 Absatz 5 vorliegen. Die Regelungen in Satz 3 und Absatz 3 bleiben hiervon unberührt. § 91 Absatz 9 gilt entsprechend mit der Maßgabe, dass im Falle harmonisierter Frequenzen bei der Ausübung des Ermessens gemäß § 91 Absatz 9 Satz 1 insbesondere Folgendes zu berücksichtigen ist:</w:t>
      </w:r>
    </w:p>
    <w:p>
      <w:pPr>
        <w:ind w:left="420"/>
      </w:pPr>
      <w:r>
        <w:t xml:space="preserve">1. die Erfüllung der in den §§ 2 und 87 festgelegten Ziele sowie von Zielen des Gemeinwohls gemäß dem Recht der Europäischen Union oder dem nationalen Recht,</w:t>
      </w:r>
    </w:p>
    <w:p>
      <w:pPr>
        <w:ind w:left="420"/>
      </w:pPr>
      <w:r>
        <w:t xml:space="preserve">2. die Umsetzung einer technischen Umsetzungsmaßnahme nach Artikel 4 der Entscheidung Nr. 676/2002/EG,</w:t>
      </w:r>
    </w:p>
    <w:p>
      <w:pPr>
        <w:ind w:left="420"/>
      </w:pPr>
      <w:r>
        <w:t xml:space="preserve">3. die Sicherstellung der ordnungsgemäßen und fristgerechten Einhaltung der an das betreffende Frequenznutzungsrecht geknüpften Bedingungen,</w:t>
      </w:r>
    </w:p>
    <w:p>
      <w:pPr>
        <w:ind w:left="420"/>
      </w:pPr>
      <w:r>
        <w:t xml:space="preserve">4. die Notwendigkeit, im Einklang mit § 105 den Wettbewerb zu fördern und Wettbewerbsverzerrungen zu vermeiden,</w:t>
      </w:r>
    </w:p>
    <w:p>
      <w:pPr>
        <w:ind w:left="420"/>
      </w:pPr>
      <w:r>
        <w:t xml:space="preserve">5. die Notwendigkeit, die Nutzung der Frequenzen in Anbetracht der Entwicklung der Technik und der Märkte effizienter zu gestalten,</w:t>
      </w:r>
    </w:p>
    <w:p>
      <w:pPr>
        <w:ind w:left="420"/>
      </w:pPr>
      <w:r>
        <w:t xml:space="preserve">6. die Notwendigkeit, erhebliche Störungen der Dienste zu verhindern, und</w:t>
      </w:r>
    </w:p>
    <w:p>
      <w:pPr>
        <w:ind w:left="420"/>
      </w:pPr>
      <w:r>
        <w:t xml:space="preserve">7. die Nachfrage nach Frequenzen bei anderen Unternehmen als denen, die im betreffenden Frequenzbereich über Nutzungsrechte verfügen.</w:t>
      </w:r>
    </w:p>
    <w:p>
      <w:r>
        <w:t xml:space="preserve">(3) Harmonisierte Frequenzen für drahtlose Breitbanddienste werden für mindestens 15 Jahre zugeteilt. Abweichend von Satz 1 kann die Bundesnetzagentur eine kürzere Befristung festlegen für</w:t>
      </w:r>
    </w:p>
    <w:p>
      <w:pPr>
        <w:ind w:left="420"/>
      </w:pPr>
      <w:r>
        <w:t xml:space="preserve">1. begrenzte geografische Gebiete mit äußerst lückenhaftem oder gar keinem Zugang zu Hochgeschwindigkeitsnetzen,</w:t>
      </w:r>
    </w:p>
    <w:p>
      <w:pPr>
        <w:ind w:left="420"/>
      </w:pPr>
      <w:r>
        <w:t xml:space="preserve">2. bestimmte kurzfristige Projekte,</w:t>
      </w:r>
    </w:p>
    <w:p>
      <w:pPr>
        <w:ind w:left="420"/>
      </w:pPr>
      <w:r>
        <w:t xml:space="preserve">3. Nutzungen der Frequenzen, die unter Beachtung der Ziele des Artikels 45 Absatz 4 und 5 der Richtlinie (EU) 2018/1972 mit drahtlosen Breitbanddiensten koexistieren können,</w:t>
      </w:r>
    </w:p>
    <w:p>
      <w:pPr>
        <w:ind w:left="420"/>
      </w:pPr>
      <w:r>
        <w:t xml:space="preserve">4. die alternative Nutzung der Frequenz gemäß § 98 oder</w:t>
      </w:r>
    </w:p>
    <w:p>
      <w:pPr>
        <w:ind w:left="420"/>
      </w:pPr>
      <w:r>
        <w:t xml:space="preserve">5. die Anpassung der Geltungsdauer eines Frequenznutzungsrechts an die Geltungsdauer anderer Frequenznutzungsrechte.</w:t>
      </w:r>
    </w:p>
    <w:p>
      <w:r>
        <w:t xml:space="preserve">Die Zuteilung ist zu verlängern, wenn die nach § 99 Absatz 1 Satz 1 Nummer 2 in Verbindung mit Satz 6 festgelegten allgemeinen Kriterien erfüllt sind. Die Zuteilung ist angemessen zu verlängern, damit der Regelungsrahmen für Investitionen in Netzinfrastrukturen für die Nutzung solcher Frequenzen während eines Zeitraums von mindestens 20 Jahren für die Inhaber der Frequenznutzungsrechte vorhersehbar ist. Die Regelungen in Absatz 2 bleiben hiervon unberührt. Die allgemeinen Kriterien der Verlängerung beziehen sich auf</w:t>
      </w:r>
    </w:p>
    <w:p>
      <w:pPr>
        <w:ind w:left="420"/>
      </w:pPr>
      <w:r>
        <w:t xml:space="preserve">1. die Gewährung einer effizienten und störungsfreien Nutzung der betreffenden Frequenzen,</w:t>
      </w:r>
    </w:p>
    <w:p>
      <w:pPr>
        <w:ind w:left="420"/>
      </w:pPr>
      <w:r>
        <w:t xml:space="preserve">2. das Erreichen der Ziele des § 87 Absatz 2 Nummer 1 und 2,</w:t>
      </w:r>
    </w:p>
    <w:p>
      <w:pPr>
        <w:ind w:left="420"/>
      </w:pPr>
      <w:r>
        <w:t xml:space="preserve">3. den Schutz des menschlichen Lebens,</w:t>
      </w:r>
    </w:p>
    <w:p>
      <w:pPr>
        <w:ind w:left="420"/>
      </w:pPr>
      <w:r>
        <w:t xml:space="preserve">4. die Gewährleistung der öffentlichen Sicherheit und Ordnung,</w:t>
      </w:r>
    </w:p>
    <w:p>
      <w:pPr>
        <w:ind w:left="420"/>
      </w:pPr>
      <w:r>
        <w:t xml:space="preserve">5. die Wahrung nationaler Sicherheits- und Verteidigungsinteressen und</w:t>
      </w:r>
    </w:p>
    <w:p>
      <w:pPr>
        <w:ind w:left="420"/>
      </w:pPr>
      <w:r>
        <w:t xml:space="preserve">6. die Sicherstellung eines chancengleichen Wettbewerbs.</w:t>
      </w:r>
    </w:p>
    <w:p>
      <w:r>
        <w:t xml:space="preserve">(4) Die Bundesnetzagentur entscheidet rechtzeitig vor Ablauf der Geltungsdauer über die Verlängerung. Zu diesem Zweck prüft die Bundesnetzagentur von Amts wegen oder auf Antrag des Rechteinhabers die Notwendigkeit einer solchen Verlängerung. Bei einer Befristung von Zuteilungen von harmonisierten Frequenzen entscheidet die Bundesnetzagentur auf Antrag des Rechteinhabers frühestens fünf Jahre vor dem Ablauf der Geltungsdauer der betreffenden Rechte über die Verlängerung. Bei einer Befristung von Zuteilungen von harmonisierten Frequenzen für drahtlose Breitbandnetze und -dienste nimmt die Bundesnetzagentur spätestens zwei Jahre vor Ablauf der Geltungsdauer der betreffenden Rechte eine objektive und zukunftsgerichtete Bewertung der Einhaltung der gemäß § 99 Absatz 1 Satz 1 Nummer 2 in Verbindung mit Absatz 3 Satz 6 festgelegten Kriterien vor.</w:t>
      </w:r>
    </w:p>
    <w:p>
      <w:r>
        <w:t xml:space="preserve">(5) Bei der Verlängerung einer Frequenzzuteilung kann die Bundesnetzagentur zur Sicherstellung der Regulierungsziele nach den §§ 2 und 87 Art und Umfang der Frequenznutzung sowie Nebenbestimmungen nach § 99 beibehalten, aufheben, ändern oder neu festlegen. Im Falle einer Verlängerung nach Absatz 3 sollen Art und Umfang der Frequenznutzung sowie Nebenbestimmungen beibehalten werden, es sei denn, ihre Beibehaltung ist nicht mehr erforderlich oder eine Änderung oder Neuauferlegung zur Sicherstellung der Regulierungsziele der §§ 2 und 87 geboten.</w:t>
      </w:r>
    </w:p>
    <w:p>
      <w:r>
        <w:rPr>
          <w:color w:val="555555"/>
          <w:sz w:val="17"/>
        </w:rPr>
        <w:t xml:space="preserve">Zitiervorschlag: § 92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