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TKG 2021 — Verordnungsermächtigung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Bundesregierung wird ermächtigt, die Frequenzzuweisungen für die Bundesrepublik Deutschland sowie darauf bezogene weitere Festlegungen in einer Frequenzverordnung festzulegen. Hierbei sind die Belange der inneren und äußeren Sicherheit zu berücksichtigen. Die Frequenzverordnung bedarf der Zustimmung des Bundesrates. In die Vorbereitung sind die von Frequenzzuweisungen betroffenen Kreise einzubeziehen. In die Frequenzverordnung können Regelungen, wie mit frei werdenden Frequenzen für den analogen Hörfunk auf Ultrakurzwelle zu verfahren ist, aufgenommen werden.</w:t>
      </w:r>
    </w:p>
    <w:p>
      <w:r>
        <w:t xml:space="preserve">(2) Bei der Frequenzzuweisung sind die einschlägigen internationalen Übereinkünfte, einschließlich der Vollzugsordnung für den Funkdienst, die europäische Harmonisierung und die technische Entwicklung zu berücksichtigen. Sind im Rahmen der Frequenzzuweisung auch Bestimmungen über Frequenznutzungen und darauf bezogene nähere Festlegungen betroffen, so sind Beschränkungen nur aus den in Artikel 45 Absatz 4 und 5 der Richtlinie (EU) 2018/1972 genannten Gründen zulässig.</w:t>
      </w:r>
    </w:p>
    <w:p>
      <w:r>
        <w:t xml:space="preserve">(3) Die Bundesregierung wird ermächtigt, Frequenzzuweisungen sowie weitere darauf bezogene Festlegungen, soweit sie zur Sicherstellung der Aufgabenwahrnehmung der Bundeswehr und der Behörden und Organisationen mit Sicherheitsaufgaben im Spannungs- und Verteidigungsfall erforderlich sind, in einer besonderen Frequenzverordnung, die nicht der Zustimmung des Bundesrates bedarf, festzulegen. Die Regelungen der besonderen Frequenzverordnung nach Satz 1 finden nur bei Feststellung des Spannungsfalls nach Artikel 80a des Grundgesetzes oder des Verteidigungsfalls nach Artikel 115a des Grundgesetzes Anwendung.</w:t>
      </w:r>
    </w:p>
    <w:p>
      <w:r>
        <w:rPr>
          <w:color w:val="555555"/>
          <w:sz w:val="17"/>
        </w:rPr>
        <w:t xml:space="preserve">Zitiervorschlag: § 89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