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TKG 2021 — Aufgaben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Stand: 30.07.2025 (konsolidierte Textfassung, kein amtliches Inkrafttretensdatum)</w:t>
      </w:r>
    </w:p>
    <w:p>
      <w:r>
        <w:t xml:space="preserve">(1) Zur Sicherstellung einer effizienten und störungsfreien Nutzung von Frequenzen und unter Berücksichtigung der Regulierungsziele des § 2 sowie der Ziele der Frequenzregulierung gemäß § 87 werden durch die jeweils zuständigen Behörden</w:t>
      </w:r>
    </w:p>
    <w:p>
      <w:pPr>
        <w:ind w:left="420"/>
      </w:pPr>
      <w:r>
        <w:t xml:space="preserve">1. Frequenzbereiche in der Frequenzverordnung nach § 89 zugewiesen und im Frequenzplan in Frequenznutzungen aufgeteilt,</w:t>
      </w:r>
    </w:p>
    <w:p>
      <w:pPr>
        <w:ind w:left="420"/>
      </w:pPr>
      <w:r>
        <w:t xml:space="preserve">2. Frequenzen zugeteilt und</w:t>
      </w:r>
    </w:p>
    <w:p>
      <w:pPr>
        <w:ind w:left="420"/>
      </w:pPr>
      <w:r>
        <w:t xml:space="preserve">3. Frequenznutzungen überwacht.</w:t>
      </w:r>
    </w:p>
    <w:p>
      <w:r>
        <w:t xml:space="preserve">(2) Die Bundesnetzagentur trifft Anordnungen bei Frequenznutzungen im Rahmen des Betriebs von Funkanlagen auf fremden Land-, Wasser- und Luftfahrzeugen, die sich im Geltungsbereich dieses Gesetzes aufhalten.</w:t>
      </w:r>
    </w:p>
    <w:p>
      <w:r>
        <w:t xml:space="preserve">(3) Für Frequenznutzungen, die in den Aufgabenbereich des Bundesministeriums der Verteidigung fallen, stellt das Bundesministerium für Digitales und Staatsmodernisierung das Einvernehmen mit dem Bundesministerium der Verteidigung her.</w:t>
      </w:r>
    </w:p>
    <w:p>
      <w:r>
        <w:rPr>
          <w:color w:val="555555"/>
          <w:sz w:val="17"/>
        </w:rPr>
        <w:t xml:space="preserve">Zitiervorschlag: § 88 TKG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https://recht.nulegal.eu/gesetze/TKG%202021/88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