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TKG 2021 — Informationen über Infrastruktur</w:t>
      </w:r>
    </w:p>
    <w:p>
      <w:r>
        <w:rPr>
          <w:color w:val="555555"/>
          <w:sz w:val="18"/>
        </w:rPr>
        <w:t xml:space="preserve">Telekommunikationsgesetz</w:t>
      </w:r>
    </w:p>
    <w:p>
      <w:r>
        <w:rPr>
          <w:color w:val="555555"/>
          <w:sz w:val="18"/>
        </w:rPr>
        <w:t xml:space="preserve">Stand: 07.12.2025 (konsolidierte Textfassung, kein amtliches Inkrafttretensdatum)</w:t>
      </w:r>
    </w:p>
    <w:p>
      <w:r>
        <w:t xml:space="preserve">(1) Informationen über Infrastruktur umfassen</w:t>
      </w:r>
    </w:p>
    <w:p>
      <w:pPr>
        <w:ind w:left="420"/>
      </w:pPr>
      <w:r>
        <w:t xml:space="preserve">1. eine gebietsbezogene, Planungszwecken dienende Übersicht über Einrichtungen, die zu Telekommunikationszwecken genutzt werden können, nach den Absätzen 2 bis 4,</w:t>
      </w:r>
    </w:p>
    <w:p>
      <w:pPr>
        <w:ind w:left="420"/>
      </w:pPr>
      <w:r>
        <w:t xml:space="preserve">2. detaillierte Informationen nach § 136 Absatz 3 für die Mitnutzung passiver Netzinfrastrukturen öffentlicher Versorgungsnetze gemäß den §§ 138 bis 141, soweit diese Informationen der zentralen Informationsstelle des Bundes gemäß § 136 Absatz 5 für diese Zwecke zur Verfügung gestellt wurden, und</w:t>
      </w:r>
    </w:p>
    <w:p>
      <w:pPr>
        <w:ind w:left="420"/>
      </w:pPr>
      <w:r>
        <w:t xml:space="preserve">3. detaillierte Informationen nach § 153 Absatz 3 für die Mitnutzung sonstiger physischer Infrastrukturen zur Errichtung oder Anbindung drahtloser Zugangspunkte mit geringer Reichweite gemäß § 152, soweit diese Informationen der zentralen Informationsstelle des Bundes gemäß § 153 Absatz 5 für diese Zwecke zur Verfügung gestellt wurden.</w:t>
      </w:r>
    </w:p>
    <w:p>
      <w:r>
        <w:t xml:space="preserve">(2) Die zentrale Informationsstelle des Bundes verlangt von Eigentümern oder Betreibern öffentlicher Versorgungsnetze, die über Einrichtungen verfügen, die zu Telekommunikationszwecken genutzt werden können, diejenigen Informationen, die für die Zwecke nach Absatz 1 Nummer 1 über Art, gegenwärtige Nutzung sowie tatsächliche Verfügbarkeit und geografische Lage des Standortes und der Leitungswege dieser Einrichtungen erforderlich sind. Die zentrale Informationsstelle des Bundes verlangt von Eigentümern oder Betreibern sonstiger physischer Infrastrukturen, die für die Errichtung und Anbindung drahtloser Zugangspunkte mit geringer Reichweite geeignet sind, diejenigen Informationen, die für die Zwecke nach Absatz 1 Nummer 1 über Art, gegenwärtige Nutzung sowie tatsächliche Verfügbarkeit und geografische Lage des Standortes und der Leitungswege dieser sonstigen physischen Infrastrukturen erforderlich sind. Zu den Einrichtungen gemäß Satz 1 zählen insbesondere alle passiven Netzinfrastrukturen und sonstige physische Infrastrukturen.</w:t>
      </w:r>
    </w:p>
    <w:p>
      <w:r>
        <w:t xml:space="preserve">(3) Die zentrale Informationsstelle des Bundes nimmt nach Absatz 2 erhaltene Informationen nicht in die Übersicht nach Absatz 1 Nummer 1 auf, soweit konkrete Anhaltspunkte dafür vorliegen, dass</w:t>
      </w:r>
    </w:p>
    <w:p>
      <w:pPr>
        <w:ind w:left="420"/>
      </w:pPr>
      <w:r>
        <w:t xml:space="preserve">1. eine Einsichtnahme nach Absatz 4 die Sicherheit und Integrität der Einrichtung oder der sonstigen physischen Infrastruktur oder die öffentliche Sicherheit oder die öffentliche Gesundheit gefährdet,</w:t>
      </w:r>
    </w:p>
    <w:p>
      <w:pPr>
        <w:ind w:left="420"/>
      </w:pPr>
      <w:r>
        <w:t xml:space="preserve">2. eine Einsichtnahme nach Absatz 4 die Vertraulichkeit gemäß § 148 verletzt,</w:t>
      </w:r>
    </w:p>
    <w:p>
      <w:pPr>
        <w:ind w:left="420"/>
      </w:pPr>
      <w:r>
        <w:t xml:space="preserve">3. Teile einer Infrastruktur betroffen sind, die durch Gesetz oder aufgrund eines Gesetzes als kritische Anlagen bestimmt worden und nachweislich besonders schutzbedürftig und für die Funktionsfähigkeit kritischer Anlagen maßgeblich sind, oder</w:t>
      </w:r>
    </w:p>
    <w:p>
      <w:pPr>
        <w:ind w:left="420"/>
      </w:pPr>
      <w:r>
        <w:t xml:space="preserve">4. Teile öffentlicher Versorgungsnetze oder sonstiger physischer Infrastrukturen betroffen sind, die durch den Bund zur Verwirklichung einer sicheren Behördenkommunikation genutzt werden.</w:t>
      </w:r>
    </w:p>
    <w:p>
      <w:r>
        <w:t xml:space="preserve">In diesen Fällen sind für die jeweiligen Gebiete, in denen sich die Einrichtungen oder sonstigen physischen Infrastrukturen befinden, Informationen im Sinne von § 136 Absatz 3 Nummer 3 und § 153 Absatz 3 Nummer 3 aufzunehmen.</w:t>
      </w:r>
    </w:p>
    <w:p>
      <w:r>
        <w:t xml:space="preserve">(4) Die zentrale Informationsstelle des Bundes gewährt den am Ausbau von öffentlichen Versorgungsnetzen Beteiligten nach Maßgabe der Einsichtnahmebedingungen nach Absatz 5 Einsicht in die Übersicht nach Absatz 1, soweit mit dem Ausbauvorhaben Einrichtungen geschaffen werden sollen, die zu Telekommunikationszwecken genutzt werden können. Zu den am Ausbau von öffentlichen Versorgungsnetzen Beteiligten gehören insbesondere</w:t>
      </w:r>
    </w:p>
    <w:p>
      <w:pPr>
        <w:ind w:left="420"/>
      </w:pPr>
      <w:r>
        <w:t xml:space="preserve">1. Gebietskörperschaften,</w:t>
      </w:r>
    </w:p>
    <w:p>
      <w:pPr>
        <w:ind w:left="420"/>
      </w:pPr>
      <w:r>
        <w:t xml:space="preserve">2. Eigentümer und Betreiber öffentlicher Versorgungsnetze,</w:t>
      </w:r>
    </w:p>
    <w:p>
      <w:pPr>
        <w:ind w:left="420"/>
      </w:pPr>
      <w:r>
        <w:t xml:space="preserve">3. die Auftragnehmer von Gebietskörperschaften oder Eigentümern und Betreibern öffentlicher Versorgungsnetze.</w:t>
      </w:r>
    </w:p>
    <w:p>
      <w:r>
        <w:t xml:space="preserve">Das Bundesministerium für Digitales und Staatsmodernisierung sowie Gebietskörperschaften haben für allgemeine Planungs- und Förderzwecke sowie zur Erfüllung von Aufgaben nach diesem Gesetz das Recht auf:</w:t>
      </w:r>
    </w:p>
    <w:p>
      <w:pPr>
        <w:ind w:left="420"/>
      </w:pPr>
      <w:r>
        <w:t xml:space="preserve">1. Einsichtnahme in die Übersicht nach Absatz 1 nach Maßgabe der Einsichtnahmebedingungen nach Absatz 5, und</w:t>
      </w:r>
    </w:p>
    <w:p>
      <w:pPr>
        <w:ind w:left="420"/>
      </w:pPr>
      <w:r>
        <w:t xml:space="preserve">2. Verwendung der eingesehenen Informationen zu den vorgenannten Zwecken.</w:t>
      </w:r>
    </w:p>
    <w:p>
      <w:r>
        <w:t xml:space="preserve">(5) Die zentrale Informationsstelle des Bundes regelt die Einzelheiten der Einsichtnahme in Einsichtnahmebedingungen. Diese haben insbesondere der Sensitivität der erfassten Daten und dem zu erwartenden Verwaltungsaufwand Rechnung zu tragen. Die Einsichtnahmeberechtigten haben die Vertraulichkeit nach § 148 zu wahren.</w:t>
      </w:r>
    </w:p>
    <w:p>
      <w:r>
        <w:rPr>
          <w:color w:val="555555"/>
          <w:sz w:val="17"/>
        </w:rPr>
        <w:t xml:space="preserve">Zitiervorschlag: § 79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