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65 TKG 2021 — Anspruch auf Einzelverbindungsnachweis</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Der Endnutzer kann von dem Anbieter öffentlich zugänglicher nummerngebundener interpersoneller Telekommunikationsdienste und von dem Anbieter von Internetzugangsdiensten jederzeit mit Wirkung für die Zukunft eine nach Einzelverbindungen aufgeschlüsselte Rechnung (Einzelverbindungsnachweis) verlangen, die zumindest die Angaben enthält, die für eine Nachprüfung der Teilbeträge der Rechnung erforderlich sind. Dies gilt nicht, soweit technische Hindernisse der Erteilung von Einzelverbindungsnachweisen entgegenstehen oder wegen der Art des Rechtsgeschäfts eine Rechnung grundsätzlich nicht erteilt wird. Die Rechtsvorschriften zum Schutz personenbezogener Daten bleiben unberührt.</w:t>
      </w:r>
    </w:p>
    <w:p>
      <w:r>
        <w:t xml:space="preserve">(2) Die Einzelheiten darüber, welche Angaben in der Regel für einen Einzelverbindungsnachweis erforderlich und in welcher Form diese Angaben jeweils mindestens zu erteilen sind, kann die Bundesnetzagentur durch Verfügung festlegen. Der Endnutzer kann einen auf diese Festlegungen beschränkten Einzelverbindungsnachweis verlangen, für den kein Entgelt erhoben werden darf.</w:t>
      </w:r>
    </w:p>
    <w:p>
      <w:r>
        <w:rPr>
          <w:color w:val="555555"/>
          <w:sz w:val="17"/>
        </w:rPr>
        <w:t xml:space="preserve">Zitiervorschlag: § 65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