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TKG 2021 — Rechnungsinhalte, Teilzahlungen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Rechnungen an Endnutzer müssen Folgendes enthalten:</w:t>
      </w:r>
    </w:p>
    <w:p>
      <w:pPr>
        <w:ind w:left="420"/>
      </w:pPr>
      <w:r>
        <w:t xml:space="preserve">1. die konkrete Bezeichnung der in Rechnung gestellten Leistungen,</w:t>
      </w:r>
    </w:p>
    <w:p>
      <w:pPr>
        <w:ind w:left="420"/>
      </w:pPr>
      <w:r>
        <w:t xml:space="preserve">2. den Namen und die ladungsfähige Anschrift des rechnungsstellenden Anbieters,</w:t>
      </w:r>
    </w:p>
    <w:p>
      <w:pPr>
        <w:ind w:left="420"/>
      </w:pPr>
      <w:r>
        <w:t xml:space="preserve">3. bei einem rechnungsstellenden Anbieter mit Sitz im Ausland zusätzlich die ladungsfähige Anschrift eines allgemeinen Zustellungsbevollmächtigten im Inland, und</w:t>
      </w:r>
    </w:p>
    <w:p>
      <w:pPr>
        <w:ind w:left="420"/>
      </w:pPr>
      <w:r>
        <w:t xml:space="preserve">4. eine nationale Ortsnetzrufnummer oder eine kostenfreie Kundendiensttelefonnummer, E-Mail-Adresse und Internetseite des rechnungsstellenden Anbieters.</w:t>
      </w:r>
    </w:p>
    <w:p>
      <w:r>
        <w:t xml:space="preserve">(2) Sofern Fremdforderungen oder abgetretene Forderungen Dritter (Drittanbieter) mit ausgewiesen werden, müssen Rechnungen an Endnutzer zusätzlich folgende Angaben enthalten:</w:t>
      </w:r>
    </w:p>
    <w:p>
      <w:pPr>
        <w:ind w:left="420"/>
      </w:pPr>
      <w:r>
        <w:t xml:space="preserve">1. den Namen und die ladungsfähige Anschriften des Drittanbieters,</w:t>
      </w:r>
    </w:p>
    <w:p>
      <w:pPr>
        <w:ind w:left="420"/>
      </w:pPr>
      <w:r>
        <w:t xml:space="preserve">2. eine nationale Ortsnetzrufnummer oder eine kostenfreie Kundendiensttelefonnummer, des Drittanbieters,</w:t>
      </w:r>
    </w:p>
    <w:p>
      <w:pPr>
        <w:ind w:left="420"/>
      </w:pPr>
      <w:r>
        <w:t xml:space="preserve">3. den Hinweis auf eine Internetseite mit den folgenden leicht auffindbaren Informationen des Drittanbieters:</w:t>
      </w:r>
    </w:p>
    <w:p>
      <w:pPr>
        <w:ind w:left="780"/>
      </w:pPr>
      <w:r>
        <w:t xml:space="preserve">a) E-Mailadresse,</w:t>
      </w:r>
    </w:p>
    <w:p>
      <w:pPr>
        <w:ind w:left="780"/>
      </w:pPr>
      <w:r>
        <w:t xml:space="preserve">b) ladungsfähige Anschrift des Drittanbieters,</w:t>
      </w:r>
    </w:p>
    <w:p>
      <w:pPr>
        <w:ind w:left="780"/>
      </w:pPr>
      <w:r>
        <w:t xml:space="preserve">c) bei einem Drittanbieter mit Sitz im Ausland zusätzlich die ladungsfähige Anschrift eines allgemeinen Zustellungsbevollmächtigten im Inland.</w:t>
      </w:r>
    </w:p>
    <w:p>
      <w:r>
        <w:t xml:space="preserve">§ 65 bleibt unberührt. Zahlt der Endnutzer den Gesamtbetrag der Rechnung an den rechnungsstellenden Anbieter, so befreit ihn diese Zahlung von der Zahlungsverpflichtung auch gegenüber dem Drittanbieter.</w:t>
      </w:r>
    </w:p>
    <w:p>
      <w:r>
        <w:t xml:space="preserve">(3) Hat der Endnutzer vor oder bei der Zahlung nichts anderes bestimmt, so sind Teilzahlungen an den rechnungsstellenden Anbieter auf die in der Rechnung ausgewiesenen Forderungen nach ihrem Anteil an der Gesamtforderung der Rechnung zu verrechnen.</w:t>
      </w:r>
    </w:p>
    <w:p>
      <w:r>
        <w:t xml:space="preserve">(4) Das rechnungsstellende Unternehmen muss den Rechnungsempfänger in der Rechnung darauf hinweisen, dass dieser berechtigt ist, begründete Einwendungen gegen einzelne in der Rechnung gestellte Forderungen zu erheben.</w:t>
      </w:r>
    </w:p>
    <w:p>
      <w:r>
        <w:t xml:space="preserve">(5) Die Bundesnetzagentur legt nach Anhörung der betroffenen Unternehmen, Fachkreise und Verbraucherverbände Verfahren fest, die die Anbieter öffentlich zugänglicher Mobilfunkdienste und die Anbieter des Anschlusses an das öffentliche Mobilfunknetz anwenden müssen, um die Identifizierung eines Mobilfunkanschlusses zur Inanspruchnahme und Abrechnung einer neben der Verbindung erbrachten Leistung zu nutzen. Diese Verfahren sollen den Endnutzer wirksam davor schützen, dass eine neben der Verbindung erbrachte Leistung gegen seinen Willen in Anspruch genommen und abgerechnet wird. Die Bundesnetzagentur veröffentlicht die Verfahren und überprüft sie in regelmäßigen Abständen auf ihre Wirksamkeit.</w:t>
      </w:r>
    </w:p>
    <w:p>
      <w:r>
        <w:rPr>
          <w:color w:val="555555"/>
          <w:sz w:val="17"/>
        </w:rPr>
        <w:t xml:space="preserve">Zitiervorschlag: § 62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