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TKG 2021 — Vertragsänderung, Minderung und außerordentliche Kündigung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Hat ein Anbieter öffentlich zugänglicher Telekommunikationsdienste sich durch Allgemeine Geschäftsbedingungen vorbehalten, einen Vertrag einseitig zu ändern und ändert er die Vertragsbedingungen einseitig, kann der Endnutzer den Vertrag ohne Einhaltung einer Kündigungsfrist und ohne Kosten kündigen, es sei denn, die Änderungen sind</w:t>
      </w:r>
    </w:p>
    <w:p>
      <w:pPr>
        <w:ind w:left="420"/>
      </w:pPr>
      <w:r>
        <w:t xml:space="preserve">1. ausschließlich zum Vorteil des Endnutzers,</w:t>
      </w:r>
    </w:p>
    <w:p>
      <w:pPr>
        <w:ind w:left="420"/>
      </w:pPr>
      <w:r>
        <w:t xml:space="preserve">2. rein administrativer Art und haben keine negativen Auswirkungen auf den Endnutzer oder</w:t>
      </w:r>
    </w:p>
    <w:p>
      <w:pPr>
        <w:ind w:left="420"/>
      </w:pPr>
      <w:r>
        <w:t xml:space="preserve">3. unmittelbar durch Unionsrecht oder innerstaatlich geltendes Recht vorgeschrieben.</w:t>
      </w:r>
    </w:p>
    <w:p>
      <w:r>
        <w:t xml:space="preserve">Die Kündigung kann innerhalb von drei Monaten ab dem Zeitpunkt erklärt werden, in dem die Unterrichtung des Anbieters über die Vertragsänderung, die den Anforderungen des Absatzes 2 Satz 1 entspricht, dem Endnutzer zugeht. Der Vertrag kann durch die Kündigung frühestens zu dem Zeitpunkt beendet werden, zu dem die Vertragsänderung wirksam werden soll. Die Sätze 1 bis 3 sind nicht anzuwenden auf Verträge, die nur nummernunabhängige interpersonelle Telekommunikationsdienste zum Gegenstand haben.</w:t>
      </w:r>
    </w:p>
    <w:p>
      <w:r>
        <w:t xml:space="preserve">(2) Anbieter öffentlich zugänglicher Telekommunikationsdienste müssen Endnutzer mindestens einen Monat, höchstens zwei Monate, bevor eine Vertragsänderung nach Absatz 1 Satz 1 wirksam werden soll, klar und verständlich auf einem dauerhaften Datenträger über Folgendes unterrichten:</w:t>
      </w:r>
    </w:p>
    <w:p>
      <w:pPr>
        <w:ind w:left="420"/>
      </w:pPr>
      <w:r>
        <w:t xml:space="preserve">1. den Inhalt und den Zeitpunkt der Vertragsänderung und</w:t>
      </w:r>
    </w:p>
    <w:p>
      <w:pPr>
        <w:ind w:left="420"/>
      </w:pPr>
      <w:r>
        <w:t xml:space="preserve">2. ein bestehendes Kündigungsrecht des Endnutzers nach Absatz 1 Satz 1 bis 3.</w:t>
      </w:r>
    </w:p>
    <w:p>
      <w:r>
        <w:t xml:space="preserve">Die Bundesnetzagentur kann das Format für die Unterrichtung über Vertragsänderungen und zum Kündigungsrecht nach Absatz 1 Satz 1 bis 3 festlegen.</w:t>
      </w:r>
    </w:p>
    <w:p>
      <w:r>
        <w:t xml:space="preserve">(3) Anbieter beraten die Endnutzer hinsichtlich des für den jeweiligen Endnutzer besten Tarifs in Bezug auf ihre Dienste. Sie berücksichtigen hierbei insbesondere den Umfang der vom Endnutzer aktuell vertraglich vereinbarten Dienste, insbesondere in Bezug auf das enthaltene Datenvolumen. Anbieter erteilen Endnutzern Informationen über den hiernach ermittelten besten Tarif mindestens einmal pro Jahr.</w:t>
      </w:r>
    </w:p>
    <w:p>
      <w:r>
        <w:t xml:space="preserve">(4) Im Falle von</w:t>
      </w:r>
    </w:p>
    <w:p>
      <w:pPr>
        <w:ind w:left="420"/>
      </w:pPr>
      <w:r>
        <w:t xml:space="preserve">1. erheblichen, kontinuierlichen oder regelmäßig wiederkehrenden Abweichungen bei der Geschwindigkeit oder bei anderen Dienstequalitätsparametern zwischen der tatsächlichen Leistung der Internetzugangsdienste und der vom Anbieter der Internetzugangsdienste gemäß Artikel 4 Absatz 1 Buchstabe a bis d der Verordnung (EU) 2015/2120 angegebenen Leistung, die durch einen von der Bundesnetzagentur bereitgestellten oder von ihr oder einem von ihr beauftragten Dritten zertifizierten Überwachungsmechanismus ermittelt wurden, oder</w:t>
      </w:r>
    </w:p>
    <w:p>
      <w:pPr>
        <w:ind w:left="420"/>
      </w:pPr>
      <w:r>
        <w:t xml:space="preserve">2. anhaltenden oder häufig auftretenden erheblichen Abweichungen zwischen der tatsächlichen und der im Vertrag angegebenen Leistung eines Telekommunikationsdienstes mit Ausnahme eines Internetzugangsdienstes,</w:t>
      </w:r>
    </w:p>
    <w:p>
      <w:r>
        <w:t xml:space="preserve">ist der Verbraucher unbeschadet sonstiger Rechtsbehelfe berechtigt, das vertraglich vereinbarte Entgelt zu mindern oder den Vertrag außerordentlich ohne Einhaltung einer Kündigungsfrist zu kündigen. Bei der Minderung ist das vertraglich vereinbarte Entgelt in dem Verhältnis herabzusetzen, in welchem die tatsächliche Leistung von der vertraglich vereinbarten Leistung abweicht. Ist der Eintritt der Voraussetzungen von Satz 1 Nummer 1 oder 2 unstreitig oder vom Verbraucher nachgewiesen worden, besteht das Recht des Verbrauchers zur Minderung so lange fort, bis der Anbieter den Nachweis erbringt, dass er die vertraglich vereinbarte Leistung ordnungsgemäß erbringt. Im Falle des vollständigen Ausfalls eines Dienstes ist eine erhaltene Entschädigung nach § 58 Absatz 3 auf die Minderung anzurechnen. Für eine Kündigung nach Satz 1 ist § 314 Absatz 2 des Bürgerlichen Gesetzbuchs entsprechend anzuwenden. Für die Entschädigung des Anbieters im Falle einer Kündigung nach Satz 1 gilt § 56 Absatz 4 Satz 2 bis 4 entsprechend.</w:t>
      </w:r>
    </w:p>
    <w:p>
      <w:r>
        <w:t xml:space="preserve">(5) Die Bundesnetzagentur kann die unbestimmten Begriffe der erheblichen, kontinuierlichen oder regelmäßig wiederkehrenden Abweichung bei der Geschwindigkeit nach Absatz 4 Satz 1 Nummer 1 sowie der anhaltenden oder häufig auftretenden erheblichen Abweichungen nach Absatz 4 Satz 1 Nummer 2 nach Anhörung der betroffenen Kreise durch Allgemeinverfügung konkretisieren.</w:t>
      </w:r>
    </w:p>
    <w:p>
      <w:r>
        <w:rPr>
          <w:color w:val="555555"/>
          <w:sz w:val="17"/>
        </w:rPr>
        <w:t xml:space="preserve">Zitiervorschlag: § 57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