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TKG 2021 — Transparenz, Veröffentlichung von Informationen und Dienstemerkmalen zur Kostenkontrolle; Rechtsverordnung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Anbieter von Internetzugangsdiensten und öffentlich zugänglichen interpersonellen Telekommunikationsdiensten, die die Erbringung der Dienste von ihren Geschäftsbedingungen abhängig machen, sind verpflichtet, aktuelle Informationen zu veröffentlichen über</w:t>
      </w:r>
    </w:p>
    <w:p>
      <w:pPr>
        <w:ind w:left="420"/>
      </w:pPr>
      <w:r>
        <w:t xml:space="preserve">1. geltende Preise und Tarife,</w:t>
      </w:r>
    </w:p>
    <w:p>
      <w:pPr>
        <w:ind w:left="420"/>
      </w:pPr>
      <w:r>
        <w:t xml:space="preserve">2. die Vertragslaufzeit und die bei vorzeitiger Vertragskündigung anfallenden Entgelte sowie Rechte bezüglich der Kündigung von Angebotspaketen oder Teilen davon,</w:t>
      </w:r>
    </w:p>
    <w:p>
      <w:pPr>
        <w:ind w:left="420"/>
      </w:pPr>
      <w:r>
        <w:t xml:space="preserve">3. Standardbedingungen für den Zugang zu den von ihnen für Endnutzer und Verbraucher bereitgestellten Diensten und deren Nutzung,</w:t>
      </w:r>
    </w:p>
    <w:p>
      <w:pPr>
        <w:ind w:left="420"/>
      </w:pPr>
      <w:r>
        <w:t xml:space="preserve">4. die Dienstequalität einschließlich eines Angebots zur Überprüfbarkeit der Datenübertragungsrate,</w:t>
      </w:r>
    </w:p>
    <w:p>
      <w:pPr>
        <w:ind w:left="420"/>
      </w:pPr>
      <w:r>
        <w:t xml:space="preserve">5. Einzelheiten über speziell für Nutzer mit Behinderungen bestimmte Produkte und Dienste und</w:t>
      </w:r>
    </w:p>
    <w:p>
      <w:pPr>
        <w:ind w:left="420"/>
      </w:pPr>
      <w:r>
        <w:t xml:space="preserve">6. die tatsächliche, standortbezogene Mobilfunknetzabdeckung, einschließlich einer Kartendarstellung zur aktuellen Netzabdeckung.</w:t>
      </w:r>
    </w:p>
    <w:p>
      <w:r>
        <w:t xml:space="preserve">Artikel 4 Absatz 1 der Verordnung (EU) 2015/2120 bleibt hiervon unberührt.</w:t>
      </w:r>
    </w:p>
    <w:p>
      <w:r>
        <w:t xml:space="preserve">(2) Im Rahmen des Absatzes 1 Satz 1 Nummer 3 sind Anbieter von Internetzugangsdiensten und öffentlich zugänglichen interpersonellen Telekommunikationsdiensten verpflichtet, Folgendes zu veröffentlichen:</w:t>
      </w:r>
    </w:p>
    <w:p>
      <w:pPr>
        <w:ind w:left="420"/>
      </w:pPr>
      <w:r>
        <w:t xml:space="preserve">1. Kontaktangaben des Unternehmens,</w:t>
      </w:r>
    </w:p>
    <w:p>
      <w:pPr>
        <w:ind w:left="420"/>
      </w:pPr>
      <w:r>
        <w:t xml:space="preserve">2. den Umfang der angebotenen Dienste und Hauptmerkmale jedes bereitgestellten Dienstes einschließlich etwaiger Mindestniveaus der Dienstequalität sowie etwaig auferlegter Nutzungsbeschränkungen für bereitgestellte Telekommunikationsendeinrichtungen,</w:t>
      </w:r>
    </w:p>
    <w:p>
      <w:pPr>
        <w:ind w:left="420"/>
      </w:pPr>
      <w:r>
        <w:t xml:space="preserve">3. Tarife der angebotenen Dienste mit Angaben zu dem in bestimmten Tarifen enthaltenen Kommunikationsvolumen und den geltenden Tarifen für zusätzliche Kommunikationseinheiten, Nummern oder Dienste, für die besondere Preisbedingungen gelten, Zugangsentgelte, Wartungsentgelte, Nutzungsentgelte jeder Art, besondere sowie zielgruppenspezifische Tarife und Zusatzentgelte sowie Kosten für Endgeräte,</w:t>
      </w:r>
    </w:p>
    <w:p>
      <w:pPr>
        <w:ind w:left="420"/>
      </w:pPr>
      <w:r>
        <w:t xml:space="preserve">4. ihre Allgemeinen Geschäftsbedingungen und die von ihnen angebotenen Vertragslaufzeiten, die Voraussetzungen für einen Anbieterwechsel nach § 59, Kündigungsbedingungen sowie Verfahren im Zusammenhang mit der Übertragung von Rufnummern oder anderen Kennungen,</w:t>
      </w:r>
    </w:p>
    <w:p>
      <w:pPr>
        <w:ind w:left="420"/>
      </w:pPr>
      <w:r>
        <w:t xml:space="preserve">5. allgemeine und anbieterbezogene Informationen über die Verfahren zur Streitbeilegung und</w:t>
      </w:r>
    </w:p>
    <w:p>
      <w:pPr>
        <w:ind w:left="420"/>
      </w:pPr>
      <w:r>
        <w:t xml:space="preserve">6. Informationen über grundlegende Rechte der Endnutzer von Internetzugangsdiensten oder öffentlich zugänglichen interpersonellen Telekommunikationsdiensten, insbesondere</w:t>
      </w:r>
    </w:p>
    <w:p>
      <w:pPr>
        <w:ind w:left="780"/>
      </w:pPr>
      <w:r>
        <w:t xml:space="preserve">a) zu Einzelverbindungsnachweisen,</w:t>
      </w:r>
    </w:p>
    <w:p>
      <w:pPr>
        <w:ind w:left="780"/>
      </w:pPr>
      <w:r>
        <w:t xml:space="preserve">b) zu beschränkten und für den Endnutzer kostenlosen Sperren abgehender Verbindungen oder von Kurzwahl-Datendiensten oder, soweit technisch möglich, anderen Arten ähnlicher Anwendungen,</w:t>
      </w:r>
    </w:p>
    <w:p>
      <w:pPr>
        <w:ind w:left="780"/>
      </w:pPr>
      <w:r>
        <w:t xml:space="preserve">c) zur Nutzung öffentlicher Telekommunikationsnetze gegen Vorauszahlung,</w:t>
      </w:r>
    </w:p>
    <w:p>
      <w:pPr>
        <w:ind w:left="780"/>
      </w:pPr>
      <w:r>
        <w:t xml:space="preserve">d) zur Verteilung der Kosten für einen Netzanschluss auf einen längeren Zeitraum,</w:t>
      </w:r>
    </w:p>
    <w:p>
      <w:pPr>
        <w:ind w:left="780"/>
      </w:pPr>
      <w:r>
        <w:t xml:space="preserve">e) zu den Folgen von Zahlungsverzug für mögliche Sperren,</w:t>
      </w:r>
    </w:p>
    <w:p>
      <w:pPr>
        <w:ind w:left="780"/>
      </w:pPr>
      <w:r>
        <w:t xml:space="preserve">f) zu den Dienstemerkmalen Tonwahl- und Mehrfrequenzwahlverfahren und Anzeige der Rufnummer des Anrufers und</w:t>
      </w:r>
    </w:p>
    <w:p>
      <w:pPr>
        <w:ind w:left="780"/>
      </w:pPr>
      <w:r>
        <w:t xml:space="preserve">g) zur Tarifberatung.</w:t>
      </w:r>
    </w:p>
    <w:p>
      <w:r>
        <w:t xml:space="preserve">(3) Die Informationen sind klar, verständlich und leicht zugänglich in maschinenlesbarer Weise und in einem für Endnutzer mit Behinderungen barrierefreien Format bereitzustellen. Die Bundesnetzagentur stellt sicher, dass die Anbieter diese Informationen veröffentlichen und regelmäßig auf den neuesten Stand bringen.</w:t>
      </w:r>
    </w:p>
    <w:p>
      <w:r>
        <w:t xml:space="preserve">(4) Das Bundesministerium für Digitales und Staatsmodernisierung wird ermächtigt, im Einvernehmen mit dem Bundesministerium des Innern, dem Bundesministerium der Justiz und für Verbraucherschutz sowie dem Bundesministerium für Wirtschaft und Energie durch Rechtsverordnung mit Zustimmung des Bundestages Rahmenvorschriften zur Förderung der Transparenz sowie zur Veröffentlichung von Informationen und zusätzlichen Dienstmerkmalen zur Kostenkontrolle auf dem Telekommunikationsmarkt zu erlassen.</w:t>
      </w:r>
    </w:p>
    <w:p>
      <w:r>
        <w:t xml:space="preserve">(5) In der Rechtsverordnung nach Absatz 4 können hinsichtlich Ort und Form der gemäß den Absätzen 2 und 3 zu veröffentlichenden Informationen konkretisierende Anforderungen festgelegt werden. In der Rechtsverordnung nach Absatz 4 können Anbieter von Internetzugangsdiensten und öffentlich zugänglichen interpersonellen Telekommunikationsdiensten sowie Betreiber öffentlicher Telekommunikationsnetze verpflichtet werden, Einrichtungen anzubieten, um die Kosten von Sprachkommunikationsdiensten, von Internetzugangsdiensten oder von nummerngebundenen interpersonellen Telekommunikationsdiensten im Falle des Artikels 115 der Richtlinie (EU) 2018/1972 zu kontrollieren. Die Einrichtung umfasst auch unentgeltliche Warnhinweise für die Verbraucher im Falle eines anormalen oder übermäßigen Verbrauchsverhaltens.</w:t>
      </w:r>
    </w:p>
    <w:p>
      <w:r>
        <w:t xml:space="preserve">(6) Das Bundesministerium für Digitales und Staatsmodernisierung kann im Einvernehmen mit dem Bundesministerium für Wirtschaft und Energie die Ermächtigung nach Absatz 4 durch Rechtsverordnung auf die Bundesnetzagentur übertragen. Eine Rechtsverordnung der Bundesnetzagentur bedarf des Einvernehmens mit dem Bundesministerium für Digitales und Staatsmodernisierung, dem Bundesministerium des Innern, dem Bundesministerium der Justiz und für Verbraucherschutz, dem Bundesministerium für Wirtschaft und Energie und dem Bundestag.</w:t>
      </w:r>
    </w:p>
    <w:p>
      <w:r>
        <w:t xml:space="preserve">(7) Die Bundesnetzagentur kann selbst oder über Dritte jegliche Information veröffentlichen, die für Endnutzer Bedeutung haben kann. Die Bundesnetzagentur kann zur Förderung der Transparenz sowie zur Bereitstellung von Informationen und zusätzlichen Dienstemerkmalen zur Kostenkontrolle nach Absatz 4 interaktive Führer oder ähnliche Techniken selbst oder über Dritte bereitstellen, wenn diese auf dem Markt nicht kostenlos oder zu einem angemessenen Preis zur Verfügung stehen. Zur Bereitstellung nach Satz 3 ist die Nutzung der von Betreibern öffentlicher Telekommunikationsnetze und von Anbietern von Internetzugangsdiensten und öffentlich zugänglichen interpersonellen Telekommunikationsdiensten veröffentlichten Informationen für die Bundesnetzagentur oder für Dritte kostenlos.</w:t>
      </w:r>
    </w:p>
    <w:p>
      <w:r>
        <w:rPr>
          <w:color w:val="555555"/>
          <w:sz w:val="17"/>
        </w:rPr>
        <w:t xml:space="preserve">Zitiervorschlag: § 52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