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TKG 2021 — Regulierung von Endnutzerleistungen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Rechtfertigen Tatsachen die Annahme, dass die Verpflichtungen im Zugangsbereich nach Abschnitt 2 Unterabschnitt 2 sowie nach Abschnitt 3 nicht zur Erreichung der Ziele nach § 2 und der Entwicklung eines nachhaltig wettbewerbsorientierten nachgelagerten Endkundenmarktes führen würden, kann die Bundesnetzagentur Unternehmen auch Verpflichtungen in einem Endkundenmarkt, in dem das Unternehmen über beträchtliche Marktmacht verfügt, auferlegen.</w:t>
      </w:r>
    </w:p>
    <w:p>
      <w:r>
        <w:t xml:space="preserve">(2) Die Bundesnetzagentur kann nach Absatz 1 auch Entgelte für Endnutzerleistungen der Entgeltregulierung unterwerfen; Abschnitt 3 gilt entsprechend.</w:t>
      </w:r>
    </w:p>
    <w:p>
      <w:r>
        <w:rPr>
          <w:color w:val="555555"/>
          <w:sz w:val="17"/>
        </w:rPr>
        <w:t xml:space="preserve">Zitiervorschlag: § 49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